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FE41" w14:textId="53FDB4A5" w:rsidR="00DE021D" w:rsidRPr="00751C3A" w:rsidRDefault="00B935D6" w:rsidP="00DE021D">
      <w:pPr>
        <w:spacing w:after="0"/>
        <w:jc w:val="center"/>
      </w:pPr>
      <w:r w:rsidRPr="00751C3A">
        <w:t>OBRAZLOŽE</w:t>
      </w:r>
      <w:r w:rsidR="001A25D7">
        <w:t>NJE PRORAČUNA GRADA PAGA ZA 202</w:t>
      </w:r>
      <w:r w:rsidR="00E210F0">
        <w:t>6</w:t>
      </w:r>
      <w:r w:rsidRPr="00751C3A">
        <w:t xml:space="preserve">. </w:t>
      </w:r>
    </w:p>
    <w:p w14:paraId="37010AEF" w14:textId="797A9673" w:rsidR="006076ED" w:rsidRPr="00751C3A" w:rsidRDefault="001A25D7" w:rsidP="00DE021D">
      <w:pPr>
        <w:spacing w:after="0"/>
        <w:jc w:val="center"/>
      </w:pPr>
      <w:r>
        <w:t>I PROJEKCIJA ZA 202</w:t>
      </w:r>
      <w:r w:rsidR="00E210F0">
        <w:t>7</w:t>
      </w:r>
      <w:r>
        <w:t>. I 202</w:t>
      </w:r>
      <w:r w:rsidR="00E210F0">
        <w:t>8</w:t>
      </w:r>
      <w:r w:rsidR="00B935D6" w:rsidRPr="00751C3A">
        <w:t>. GODINU</w:t>
      </w:r>
    </w:p>
    <w:p w14:paraId="3E0D4E76" w14:textId="77777777" w:rsidR="00B935D6" w:rsidRPr="00751C3A" w:rsidRDefault="00B935D6"/>
    <w:p w14:paraId="1F87E454" w14:textId="77777777" w:rsidR="00B935D6" w:rsidRPr="00751C3A" w:rsidRDefault="00B935D6">
      <w:r w:rsidRPr="00751C3A">
        <w:t>UVOD</w:t>
      </w:r>
    </w:p>
    <w:p w14:paraId="3B4F2DBA" w14:textId="77777777" w:rsidR="00B935D6" w:rsidRPr="00751C3A" w:rsidRDefault="00B935D6" w:rsidP="00DE021D">
      <w:pPr>
        <w:jc w:val="both"/>
      </w:pPr>
      <w:r w:rsidRPr="00751C3A">
        <w:t>Proračun je akt jedinice lokalne i područne (regionalne) samouprave kojim se procjenjuju prihodi i primici te utvrđuju rashodi i izdaci jedinice lokalne i područne (regionalne) samouprave.</w:t>
      </w:r>
    </w:p>
    <w:p w14:paraId="679A0FC9" w14:textId="6C72AF26" w:rsidR="00B935D6" w:rsidRPr="00751C3A" w:rsidRDefault="00B935D6" w:rsidP="00B935D6">
      <w:pPr>
        <w:pStyle w:val="Tijeloteksta"/>
        <w:spacing w:after="0"/>
        <w:jc w:val="both"/>
      </w:pPr>
      <w:r w:rsidRPr="00751C3A">
        <w:t>Metodologija za izradu proračuna jedinice lokalne i područne (regionalne) samouprave propisana je Zakonom o proračunu (NN 144/21) i podzakonskim aktima kojima se regulira provedba Zakona, ponajprije Pravilnikom o proračunskim klasifikacijama (NN 26/10, 120/13 i 1/20), Pravilnikom o proračunskom računovodstvu i računskom planu (NN 124/14, 115/15, 87/16, 3/18, 126/19 i 108/20)</w:t>
      </w:r>
      <w:r w:rsidR="007F5E9C">
        <w:t>, Pravilnikom o planiranju u sustavu proračuna (NN 1/24)</w:t>
      </w:r>
      <w:r w:rsidRPr="00751C3A">
        <w:t xml:space="preserve"> te Uputama Ministarstva financija za izradu proračuna jedinica lokalne i područne (regionalne) samouprave za </w:t>
      </w:r>
      <w:r w:rsidR="001A25D7">
        <w:t>razdoblje 202</w:t>
      </w:r>
      <w:r w:rsidR="00E210F0">
        <w:t>6</w:t>
      </w:r>
      <w:r w:rsidR="001A25D7">
        <w:t>.-202</w:t>
      </w:r>
      <w:r w:rsidR="00E210F0">
        <w:t>8</w:t>
      </w:r>
      <w:r w:rsidRPr="00751C3A">
        <w:t>. godine.</w:t>
      </w:r>
    </w:p>
    <w:p w14:paraId="1C5C7C58" w14:textId="77777777" w:rsidR="00C52672" w:rsidRPr="00751C3A" w:rsidRDefault="001A25D7" w:rsidP="00C52672">
      <w:pPr>
        <w:jc w:val="both"/>
      </w:pPr>
      <w:r>
        <w:t>Sukladno odredbama</w:t>
      </w:r>
      <w:r w:rsidR="00C52672" w:rsidRPr="00751C3A">
        <w:t xml:space="preserve"> Zakon</w:t>
      </w:r>
      <w:r>
        <w:t>a</w:t>
      </w:r>
      <w:r w:rsidR="00C52672" w:rsidRPr="00751C3A">
        <w:t xml:space="preserve"> o proračunu </w:t>
      </w:r>
      <w:r w:rsidR="00D3702B">
        <w:t xml:space="preserve">proračun se donosi na razini </w:t>
      </w:r>
      <w:r w:rsidR="00C52672" w:rsidRPr="00751C3A">
        <w:t>na razini skupine</w:t>
      </w:r>
      <w:r w:rsidR="00D3702B">
        <w:t xml:space="preserve"> ekonomske klasifikacije (druga razina).</w:t>
      </w:r>
      <w:r w:rsidR="00C52672" w:rsidRPr="00751C3A">
        <w:t xml:space="preserve"> Nadalje obveza </w:t>
      </w:r>
      <w:r w:rsidR="00D3702B">
        <w:t xml:space="preserve">je </w:t>
      </w:r>
      <w:r w:rsidR="00C52672" w:rsidRPr="00751C3A">
        <w:t xml:space="preserve">i iskazivanje plana prihoda i rashoda prema izvorima financiranja, a rashoda i prema funkcijskoj klasifikaciji. </w:t>
      </w:r>
    </w:p>
    <w:p w14:paraId="24282382" w14:textId="77777777" w:rsidR="008A1457" w:rsidRPr="008A1457" w:rsidRDefault="008A1457" w:rsidP="008A145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14:paraId="32E6F67D" w14:textId="5B482693" w:rsidR="00122E17" w:rsidRPr="00751C3A" w:rsidRDefault="00122E17" w:rsidP="00DE021D">
      <w:pPr>
        <w:jc w:val="both"/>
      </w:pPr>
      <w:r w:rsidRPr="00751C3A">
        <w:t>Ovaj Proračun se sastoji od plana za proračunsku 202</w:t>
      </w:r>
      <w:r w:rsidR="00E210F0">
        <w:t>6</w:t>
      </w:r>
      <w:r w:rsidRPr="00751C3A">
        <w:t>. godinu i projekcija za sljedeće dvije godine te sadrži i financijske planove proračunskih korisnika Grada Paga. Proračun je iskazan kroz opći dio, posebni dio i obrazloženje proračuna.</w:t>
      </w:r>
    </w:p>
    <w:p w14:paraId="618ADF17" w14:textId="77777777" w:rsidR="00C52672" w:rsidRPr="00751C3A" w:rsidRDefault="00C52672" w:rsidP="00C52672">
      <w:pPr>
        <w:jc w:val="both"/>
      </w:pPr>
    </w:p>
    <w:p w14:paraId="279D72B6" w14:textId="77777777" w:rsidR="000369CB" w:rsidRPr="00751C3A" w:rsidRDefault="000369CB" w:rsidP="000369CB">
      <w:pPr>
        <w:jc w:val="both"/>
      </w:pPr>
      <w:r w:rsidRPr="00751C3A">
        <w:t xml:space="preserve">Opći dio proračuna sadrži Račun prihoda i rashoda i Račun financiranja te njihov sažetak. Račun prihoda i rashoda sastoji se od plana prihoda iskazanih prema ekonomskoj klasifikaciji i izvorima financiranja te plana rashoda iskazanih prema ekonomskoj i funkcijskoj klasifikaciji i izvorima financiranja. </w:t>
      </w:r>
    </w:p>
    <w:p w14:paraId="5E468589" w14:textId="77777777" w:rsidR="000369CB" w:rsidRPr="00751C3A" w:rsidRDefault="000369CB" w:rsidP="000369CB">
      <w:pPr>
        <w:jc w:val="both"/>
      </w:pPr>
      <w:r w:rsidRPr="00751C3A">
        <w:t>U Računu financiranja iskazuju se planirani primici od financijske imovine i zaduživanja te izdaci za financijsku imovinu i otplate instrumenata zaduživanja prema ekonomskoj klasifi</w:t>
      </w:r>
      <w:r w:rsidR="00DE021D" w:rsidRPr="00751C3A">
        <w:t>kaciji i izvorima financiranja.</w:t>
      </w:r>
    </w:p>
    <w:p w14:paraId="527DB54E" w14:textId="77777777" w:rsidR="000369CB" w:rsidRPr="00751C3A" w:rsidRDefault="000369CB" w:rsidP="000369CB">
      <w:pPr>
        <w:jc w:val="both"/>
      </w:pPr>
      <w:r w:rsidRPr="00751C3A">
        <w:t xml:space="preserve">Posebni dio Proračuna sastoji se od plana rashoda i izdataka iskazanih po organizacijskoj i ekonomskoj klasifikaciji te izvorima financiranja, raspoređenih po razdjelima i glavama Proračuna, a unutar njih po programima i dalje po aktivnostima i projektima koji, pripadaju pojedinom programu sukladno sadržaju propisane funkcijske klasifikacije. </w:t>
      </w:r>
    </w:p>
    <w:p w14:paraId="3BA157B0" w14:textId="7F4DBFB6" w:rsidR="000369CB" w:rsidRPr="00751C3A" w:rsidRDefault="000369CB" w:rsidP="000369CB">
      <w:pPr>
        <w:jc w:val="both"/>
      </w:pPr>
      <w:r w:rsidRPr="00751C3A">
        <w:t xml:space="preserve">Prema odredbama novog Zakona, obrazloženje programa, odnosno aktivnosti i projekata u  posebnom dijelu proračuna povezuje s ciljevima i pokazateljima uspješnosti </w:t>
      </w:r>
      <w:r w:rsidR="00E210F0">
        <w:t>kao elementima strateškog planiranja</w:t>
      </w:r>
      <w:r w:rsidRPr="00751C3A">
        <w:t xml:space="preserve"> Grada Paga za</w:t>
      </w:r>
      <w:r w:rsidR="00E210F0">
        <w:t xml:space="preserve"> naredno</w:t>
      </w:r>
      <w:r w:rsidRPr="00751C3A">
        <w:t xml:space="preserve"> razdoblje.</w:t>
      </w:r>
    </w:p>
    <w:p w14:paraId="37ADD96C" w14:textId="77777777" w:rsidR="000369CB" w:rsidRPr="00751C3A" w:rsidRDefault="000369CB" w:rsidP="000369CB">
      <w:pPr>
        <w:jc w:val="both"/>
        <w:rPr>
          <w:color w:val="000000" w:themeColor="text1"/>
        </w:rPr>
      </w:pPr>
      <w:r w:rsidRPr="00751C3A">
        <w:t>Kako je već naznače</w:t>
      </w:r>
      <w:r w:rsidR="00AA5C24" w:rsidRPr="00751C3A">
        <w:t>n</w:t>
      </w:r>
      <w:r w:rsidRPr="00751C3A">
        <w:t xml:space="preserve">o, </w:t>
      </w:r>
      <w:bookmarkStart w:id="0" w:name="_Hlk499297757"/>
      <w:r w:rsidRPr="00751C3A">
        <w:rPr>
          <w:color w:val="000000" w:themeColor="text1"/>
        </w:rPr>
        <w:t xml:space="preserve">u proračunu Grada Paga u cijelosti su uključeni financijski planovi proračunskih korisnika Grada Paga (Dječji vrtić Paški mališani Pag, Gradska knjižnica Pag i Javna </w:t>
      </w:r>
      <w:r w:rsidRPr="00751C3A">
        <w:rPr>
          <w:color w:val="000000" w:themeColor="text1"/>
        </w:rPr>
        <w:lastRenderedPageBreak/>
        <w:t>vatrogasna postrojba Pag), odnosno, u Proračunu su prikazani vlastiti prihodi proračunskih korisnika te rashodi proračunskih korisnika koji se financiraju iz tih prihoda.</w:t>
      </w:r>
      <w:bookmarkEnd w:id="0"/>
    </w:p>
    <w:p w14:paraId="237ADFF3" w14:textId="77777777" w:rsidR="00DE021D" w:rsidRPr="00751C3A" w:rsidRDefault="00DE021D" w:rsidP="000369CB">
      <w:pPr>
        <w:jc w:val="both"/>
        <w:rPr>
          <w:color w:val="000000" w:themeColor="text1"/>
        </w:rPr>
      </w:pPr>
    </w:p>
    <w:p w14:paraId="3BEE2D57" w14:textId="77777777" w:rsidR="000369CB" w:rsidRPr="00751C3A" w:rsidRDefault="00AA5C24" w:rsidP="000369CB">
      <w:pPr>
        <w:jc w:val="both"/>
        <w:rPr>
          <w:color w:val="000000" w:themeColor="text1"/>
        </w:rPr>
      </w:pPr>
      <w:r w:rsidRPr="00751C3A">
        <w:rPr>
          <w:color w:val="000000" w:themeColor="text1"/>
        </w:rPr>
        <w:t>OBRAZLOŽENJE OPĆEG DIJELA PRORAČUNA</w:t>
      </w:r>
    </w:p>
    <w:p w14:paraId="3B4E480F" w14:textId="77777777" w:rsidR="00AA5C24" w:rsidRPr="00751C3A" w:rsidRDefault="00AA5C24" w:rsidP="000369CB">
      <w:pPr>
        <w:jc w:val="both"/>
        <w:rPr>
          <w:i/>
          <w:color w:val="000000" w:themeColor="text1"/>
          <w:u w:val="single"/>
        </w:rPr>
      </w:pPr>
      <w:r w:rsidRPr="00751C3A">
        <w:rPr>
          <w:i/>
          <w:color w:val="000000" w:themeColor="text1"/>
          <w:u w:val="single"/>
        </w:rPr>
        <w:t>Prihodi i primici</w:t>
      </w:r>
    </w:p>
    <w:p w14:paraId="452F3F0A" w14:textId="0E78E996" w:rsidR="00AA5C24" w:rsidRPr="00751C3A" w:rsidRDefault="00AA5C24" w:rsidP="00AA5C24">
      <w:pPr>
        <w:jc w:val="both"/>
      </w:pPr>
      <w:r w:rsidRPr="00751C3A">
        <w:t>Ukupni pri</w:t>
      </w:r>
      <w:r w:rsidR="00E16922">
        <w:t>hodi i primici Proračuna za 202</w:t>
      </w:r>
      <w:r w:rsidR="00E210F0">
        <w:t>6</w:t>
      </w:r>
      <w:r w:rsidRPr="00751C3A">
        <w:t xml:space="preserve">. godinu planirani su u iznosu od </w:t>
      </w:r>
      <w:r w:rsidR="00CA29C3">
        <w:rPr>
          <w:rFonts w:eastAsia="Times New Roman"/>
          <w:bCs/>
          <w:lang w:eastAsia="hr-HR"/>
        </w:rPr>
        <w:t>21.487.000</w:t>
      </w:r>
      <w:r w:rsidRPr="00751C3A">
        <w:t xml:space="preserve"> EUR, a </w:t>
      </w:r>
      <w:r w:rsidR="00D02DEA" w:rsidRPr="00751C3A">
        <w:t>u sklopu kojih</w:t>
      </w:r>
      <w:r w:rsidRPr="00751C3A">
        <w:t xml:space="preserve"> prihodi poslovanja iznose </w:t>
      </w:r>
      <w:r w:rsidR="00CA29C3" w:rsidRPr="00CA29C3">
        <w:t>18.725.792,00</w:t>
      </w:r>
      <w:r w:rsidR="00D02DEA" w:rsidRPr="00751C3A">
        <w:t xml:space="preserve"> EUR </w:t>
      </w:r>
      <w:r w:rsidR="004D32D6">
        <w:t>,</w:t>
      </w:r>
      <w:r w:rsidRPr="00751C3A">
        <w:t xml:space="preserve"> prihodi od prodaje nefinancijske imovine </w:t>
      </w:r>
      <w:r w:rsidR="00630611" w:rsidRPr="00630611">
        <w:t>1.110.008,00</w:t>
      </w:r>
      <w:r w:rsidR="00630611">
        <w:rPr>
          <w:sz w:val="16"/>
          <w:szCs w:val="16"/>
        </w:rPr>
        <w:t xml:space="preserve"> </w:t>
      </w:r>
      <w:r w:rsidR="00D02DEA" w:rsidRPr="00751C3A">
        <w:rPr>
          <w:bCs/>
        </w:rPr>
        <w:t>EUR</w:t>
      </w:r>
      <w:r w:rsidR="004D32D6">
        <w:rPr>
          <w:bCs/>
        </w:rPr>
        <w:t xml:space="preserve"> te primici od zaduživanja </w:t>
      </w:r>
      <w:r w:rsidR="00630611" w:rsidRPr="00630611">
        <w:t>1.651.200,00</w:t>
      </w:r>
      <w:r w:rsidR="00630611">
        <w:rPr>
          <w:sz w:val="16"/>
          <w:szCs w:val="16"/>
        </w:rPr>
        <w:t xml:space="preserve"> </w:t>
      </w:r>
      <w:r w:rsidR="004D32D6">
        <w:rPr>
          <w:bCs/>
        </w:rPr>
        <w:t xml:space="preserve">EUR. </w:t>
      </w:r>
      <w:r w:rsidR="00D02DEA" w:rsidRPr="00751C3A">
        <w:rPr>
          <w:bCs/>
        </w:rPr>
        <w:t xml:space="preserve"> </w:t>
      </w:r>
      <w:r w:rsidR="00E16922">
        <w:t>U projekcijama za 202</w:t>
      </w:r>
      <w:r w:rsidR="00630611">
        <w:t>7</w:t>
      </w:r>
      <w:r w:rsidRPr="00751C3A">
        <w:t xml:space="preserve">. godinu ukupni prihodi i primici planirani su u iznosu od </w:t>
      </w:r>
      <w:r w:rsidR="00630611" w:rsidRPr="00630611">
        <w:t>22.353.092,00</w:t>
      </w:r>
      <w:r w:rsidR="00E16922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Pr="00751C3A">
        <w:t>EU</w:t>
      </w:r>
      <w:r w:rsidR="00E16922">
        <w:t>R, dok su u projekcijama za 202</w:t>
      </w:r>
      <w:r w:rsidR="00630611">
        <w:t>8</w:t>
      </w:r>
      <w:r w:rsidRPr="00751C3A">
        <w:t xml:space="preserve">. godinu planirani u visini od </w:t>
      </w:r>
      <w:r w:rsidR="00630611">
        <w:rPr>
          <w:rFonts w:eastAsia="Times New Roman"/>
          <w:bCs/>
          <w:lang w:eastAsia="hr-HR"/>
        </w:rPr>
        <w:t>18.053,092</w:t>
      </w:r>
      <w:r w:rsidR="00E16922">
        <w:rPr>
          <w:rFonts w:eastAsia="Times New Roman"/>
          <w:bCs/>
          <w:lang w:eastAsia="hr-HR"/>
        </w:rPr>
        <w:t xml:space="preserve"> </w:t>
      </w:r>
      <w:r w:rsidRPr="00E16922">
        <w:t>EUR</w:t>
      </w:r>
      <w:r w:rsidRPr="00751C3A">
        <w:t xml:space="preserve">. </w:t>
      </w:r>
    </w:p>
    <w:p w14:paraId="4092496F" w14:textId="77777777" w:rsidR="00F441DD" w:rsidRPr="00751C3A" w:rsidRDefault="00F441DD" w:rsidP="00AA5C24">
      <w:pPr>
        <w:jc w:val="both"/>
        <w:rPr>
          <w:i/>
        </w:rPr>
      </w:pPr>
      <w:r w:rsidRPr="00751C3A">
        <w:rPr>
          <w:i/>
        </w:rPr>
        <w:t>Prihodi poslovanja</w:t>
      </w:r>
    </w:p>
    <w:p w14:paraId="47180941" w14:textId="7C3E5907" w:rsidR="00F441DD" w:rsidRPr="00751C3A" w:rsidRDefault="00F441DD" w:rsidP="00AA5C24">
      <w:pPr>
        <w:jc w:val="both"/>
      </w:pPr>
      <w:r w:rsidRPr="00751C3A">
        <w:t>Ovu skupinu prihoda čine Prihodi od poreza (61), Pomoći iz inozemstva i od subjekata unutar općeg proračuna (63), Prihodi od imovine (64), Prihodi od upravnih i administrativnih pristojbi, pristojbi po posebnim propisima i naknada (65), Prihodi od prodaje proizvoda i robe te pruženih usluga i prihodi od donacija (66) te Kazne, upravne mjere i ostali prihodi (68)</w:t>
      </w:r>
      <w:r w:rsidR="00630611">
        <w:t xml:space="preserve">. Ova skupina prihoda u 2026. godini planirana je u iznosu od </w:t>
      </w:r>
      <w:r w:rsidR="00FF1095" w:rsidRPr="00FF1095">
        <w:rPr>
          <w:rFonts w:eastAsia="Times New Roman"/>
          <w:bCs/>
          <w:lang w:eastAsia="hr-HR"/>
        </w:rPr>
        <w:t>18.725.792,00</w:t>
      </w:r>
      <w:r w:rsidR="00FF1095">
        <w:t xml:space="preserve"> EUR, u 2027. u iznosu od </w:t>
      </w:r>
      <w:r w:rsidR="00FF1095" w:rsidRPr="00FF1095">
        <w:rPr>
          <w:rFonts w:eastAsia="Times New Roman"/>
          <w:bCs/>
          <w:lang w:eastAsia="hr-HR"/>
        </w:rPr>
        <w:t>20.353.092,00</w:t>
      </w:r>
      <w:r w:rsidR="00FF1095">
        <w:t xml:space="preserve"> EUR te u 2028. u iznosu od </w:t>
      </w:r>
      <w:r w:rsidR="00FF1095" w:rsidRPr="00FF1095">
        <w:rPr>
          <w:rFonts w:eastAsia="Times New Roman"/>
          <w:bCs/>
          <w:lang w:eastAsia="hr-HR"/>
        </w:rPr>
        <w:t>17.653.092,00</w:t>
      </w:r>
      <w:r w:rsidR="00FF1095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FF1095">
        <w:t xml:space="preserve"> EUR.</w:t>
      </w:r>
      <w:r w:rsidRPr="00751C3A">
        <w:t xml:space="preserve"> </w:t>
      </w:r>
    </w:p>
    <w:p w14:paraId="0027EBF7" w14:textId="77777777" w:rsidR="00D02DEA" w:rsidRPr="00751C3A" w:rsidRDefault="00F441DD" w:rsidP="00AA5C24">
      <w:pPr>
        <w:jc w:val="both"/>
        <w:rPr>
          <w:i/>
        </w:rPr>
      </w:pPr>
      <w:r w:rsidRPr="00751C3A">
        <w:rPr>
          <w:i/>
        </w:rPr>
        <w:t>Prihodi od poreza (61)</w:t>
      </w:r>
    </w:p>
    <w:p w14:paraId="1694250B" w14:textId="081242AE" w:rsidR="00F441DD" w:rsidRPr="00751C3A" w:rsidRDefault="00F441DD" w:rsidP="00AA5C24">
      <w:pPr>
        <w:jc w:val="both"/>
      </w:pPr>
      <w:r w:rsidRPr="00751C3A">
        <w:t xml:space="preserve">Unutar ove skupine prihoda, planirani su prihodi od poreza na dohodak, poreza na imovinu koji se odnose na </w:t>
      </w:r>
      <w:r w:rsidR="00630611">
        <w:t xml:space="preserve">nenaplaćeni dio </w:t>
      </w:r>
      <w:r w:rsidRPr="00751C3A">
        <w:t>porez</w:t>
      </w:r>
      <w:r w:rsidR="00630611">
        <w:t>a</w:t>
      </w:r>
      <w:r w:rsidRPr="00751C3A">
        <w:t xml:space="preserve"> na kuće za odmor</w:t>
      </w:r>
      <w:r w:rsidR="00630611">
        <w:t>,</w:t>
      </w:r>
      <w:r w:rsidR="00F96925">
        <w:t xml:space="preserve"> porez na nekretnine</w:t>
      </w:r>
      <w:r w:rsidRPr="00751C3A">
        <w:t xml:space="preserve"> ,</w:t>
      </w:r>
      <w:r w:rsidR="00F96925">
        <w:t xml:space="preserve"> porez</w:t>
      </w:r>
      <w:r w:rsidRPr="00751C3A">
        <w:t xml:space="preserve"> na promet nekretnina i porez na javne površine. </w:t>
      </w:r>
      <w:r w:rsidR="00E37032" w:rsidRPr="00751C3A">
        <w:t>Priho</w:t>
      </w:r>
      <w:r w:rsidR="00E16922">
        <w:t>di od poreza planirani su u 202</w:t>
      </w:r>
      <w:r w:rsidR="00630611">
        <w:t>6</w:t>
      </w:r>
      <w:r w:rsidR="00E37032" w:rsidRPr="00751C3A">
        <w:t xml:space="preserve">. godini u ukupnom iznosu od </w:t>
      </w:r>
      <w:r w:rsidR="00FF1095" w:rsidRPr="00FF1095">
        <w:rPr>
          <w:rFonts w:eastAsia="Times New Roman"/>
          <w:bCs/>
          <w:lang w:eastAsia="hr-HR"/>
        </w:rPr>
        <w:t>8.323.976,00</w:t>
      </w:r>
      <w:r w:rsidR="00E16922">
        <w:t xml:space="preserve"> EUR, za 202</w:t>
      </w:r>
      <w:r w:rsidR="00FF1095">
        <w:t>7</w:t>
      </w:r>
      <w:r w:rsidR="00E37032" w:rsidRPr="00751C3A">
        <w:t xml:space="preserve">. godinu planiran je iznos od </w:t>
      </w:r>
      <w:r w:rsidR="00FF1095" w:rsidRPr="00FF1095">
        <w:rPr>
          <w:rFonts w:eastAsia="Times New Roman"/>
          <w:bCs/>
          <w:lang w:eastAsia="hr-HR"/>
        </w:rPr>
        <w:t>10.177.276,00</w:t>
      </w:r>
      <w:r w:rsidR="00FF1095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E16922">
        <w:t>EUR, dok je za 202</w:t>
      </w:r>
      <w:r w:rsidR="00FF1095">
        <w:t>8</w:t>
      </w:r>
      <w:r w:rsidR="00E37032" w:rsidRPr="00751C3A">
        <w:t xml:space="preserve">. godinu planirani iznos </w:t>
      </w:r>
      <w:r w:rsidR="00FF1095" w:rsidRPr="00FF1095">
        <w:rPr>
          <w:rFonts w:eastAsia="Times New Roman"/>
          <w:bCs/>
          <w:lang w:eastAsia="hr-HR"/>
        </w:rPr>
        <w:t>9.077.276,00</w:t>
      </w:r>
      <w:r w:rsidR="00E37032" w:rsidRPr="00751C3A">
        <w:t xml:space="preserve"> EUR.</w:t>
      </w:r>
    </w:p>
    <w:p w14:paraId="4C5DE752" w14:textId="77777777" w:rsidR="00E37032" w:rsidRPr="00304DBE" w:rsidRDefault="00E37032" w:rsidP="00AA5C24">
      <w:pPr>
        <w:jc w:val="both"/>
        <w:rPr>
          <w:i/>
          <w:iCs/>
        </w:rPr>
      </w:pPr>
      <w:r w:rsidRPr="00304DBE">
        <w:rPr>
          <w:i/>
          <w:iCs/>
        </w:rPr>
        <w:t>Pomoći iz inozemstva i od subjekata unutar općeg proračuna (63)</w:t>
      </w:r>
    </w:p>
    <w:p w14:paraId="49801235" w14:textId="121C8EE6" w:rsidR="00E37032" w:rsidRPr="00751C3A" w:rsidRDefault="005740F9" w:rsidP="00AA5C24">
      <w:pPr>
        <w:jc w:val="both"/>
      </w:pPr>
      <w:r>
        <w:t>U ovu skupinu prihoda planirane su</w:t>
      </w:r>
      <w:r w:rsidR="00E37032" w:rsidRPr="00751C3A">
        <w:t xml:space="preserve"> tekuće pomoći iz državnog i </w:t>
      </w:r>
      <w:r w:rsidR="000C648C" w:rsidRPr="00751C3A">
        <w:t>županijskog proračuna te financiranje decentraliziranih funkcija vatrogastva, kapitalne pomoći iz državnog proračuna i izvanproračunskih fondova,</w:t>
      </w:r>
      <w:r w:rsidR="00926F08">
        <w:t xml:space="preserve"> kao i sredstava EU za financiranje kapitalnih projekata magazina soli i sortirnice</w:t>
      </w:r>
      <w:r w:rsidR="00AD5F98">
        <w:t xml:space="preserve"> otpada</w:t>
      </w:r>
      <w:r w:rsidR="00926F08">
        <w:t>,</w:t>
      </w:r>
      <w:r w:rsidR="00FF1095">
        <w:t xml:space="preserve"> te prijavljenih i planiranih projekata uređenja,</w:t>
      </w:r>
      <w:r w:rsidR="00926F08">
        <w:t xml:space="preserve"> </w:t>
      </w:r>
      <w:r w:rsidR="000C6066">
        <w:t>a</w:t>
      </w:r>
      <w:r w:rsidR="00926F08">
        <w:t xml:space="preserve"> </w:t>
      </w:r>
      <w:r w:rsidR="000C648C" w:rsidRPr="00751C3A">
        <w:t xml:space="preserve"> koj</w:t>
      </w:r>
      <w:r w:rsidR="000C6066">
        <w:t>e</w:t>
      </w:r>
      <w:r w:rsidR="000C648C" w:rsidRPr="00751C3A">
        <w:t xml:space="preserve"> se odnose na izvršenje programa proračuna Grada Paga i financijskih planova proračunskih korisnika. Ova v</w:t>
      </w:r>
      <w:r>
        <w:t>rsta prihoda planirana je u 202</w:t>
      </w:r>
      <w:r w:rsidR="00FF1095">
        <w:t>6</w:t>
      </w:r>
      <w:r w:rsidR="000C648C" w:rsidRPr="00751C3A">
        <w:t xml:space="preserve">. godini u ukupnom iznosu </w:t>
      </w:r>
      <w:r w:rsidR="00FF1095" w:rsidRPr="00FF1095">
        <w:rPr>
          <w:rFonts w:eastAsia="Times New Roman"/>
          <w:bCs/>
          <w:lang w:eastAsia="hr-HR"/>
        </w:rPr>
        <w:t>4.683.576,00</w:t>
      </w:r>
      <w:r>
        <w:t xml:space="preserve"> EUR, </w:t>
      </w:r>
      <w:r w:rsidR="000C648C" w:rsidRPr="00751C3A">
        <w:t xml:space="preserve"> u 202</w:t>
      </w:r>
      <w:r w:rsidR="00FF1095">
        <w:t>7</w:t>
      </w:r>
      <w:r>
        <w:t xml:space="preserve">. planiran je iznos od </w:t>
      </w:r>
      <w:r w:rsidR="00E67257" w:rsidRPr="00E67257">
        <w:rPr>
          <w:rFonts w:eastAsia="Times New Roman"/>
          <w:bCs/>
          <w:lang w:eastAsia="hr-HR"/>
        </w:rPr>
        <w:t>5.032.376,00</w:t>
      </w:r>
      <w:r>
        <w:rPr>
          <w:rFonts w:eastAsia="Times New Roman"/>
          <w:bCs/>
          <w:lang w:eastAsia="hr-HR"/>
        </w:rPr>
        <w:t xml:space="preserve"> EUR</w:t>
      </w:r>
      <w:r>
        <w:t xml:space="preserve"> te</w:t>
      </w:r>
      <w:r w:rsidR="009D3CC8">
        <w:t xml:space="preserve"> u</w:t>
      </w:r>
      <w:r>
        <w:t xml:space="preserve"> 202</w:t>
      </w:r>
      <w:r w:rsidR="00E67257">
        <w:t>8</w:t>
      </w:r>
      <w:r w:rsidR="000C648C" w:rsidRPr="00751C3A">
        <w:t>. godini</w:t>
      </w:r>
      <w:r>
        <w:t xml:space="preserve"> planiran je iznos od </w:t>
      </w:r>
      <w:r w:rsidR="00E67257" w:rsidRPr="00E67257">
        <w:rPr>
          <w:rFonts w:eastAsia="Times New Roman"/>
          <w:bCs/>
          <w:lang w:eastAsia="hr-HR"/>
        </w:rPr>
        <w:t>3.432.376,00</w:t>
      </w:r>
      <w:r w:rsidR="00E67257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9D3CC8">
        <w:t>EUR</w:t>
      </w:r>
      <w:r w:rsidR="000C648C" w:rsidRPr="00751C3A">
        <w:t>.</w:t>
      </w:r>
    </w:p>
    <w:p w14:paraId="51474A01" w14:textId="77777777" w:rsidR="000C648C" w:rsidRPr="00751C3A" w:rsidRDefault="000C648C" w:rsidP="00AA5C24">
      <w:pPr>
        <w:jc w:val="both"/>
        <w:rPr>
          <w:i/>
        </w:rPr>
      </w:pPr>
      <w:r w:rsidRPr="00751C3A">
        <w:rPr>
          <w:i/>
        </w:rPr>
        <w:t>Prihodi od imovine (64)</w:t>
      </w:r>
    </w:p>
    <w:p w14:paraId="36EEDE88" w14:textId="657D55BC" w:rsidR="000C648C" w:rsidRPr="00751C3A" w:rsidRDefault="00161890" w:rsidP="00AA5C24">
      <w:pPr>
        <w:jc w:val="both"/>
      </w:pPr>
      <w:r w:rsidRPr="00751C3A">
        <w:t>U ovu skupinu prihoda planirani su prihodi od  financijske imovine na ime prihoda od zateznih kamate i kamata na depozite po viđenju kako Grada Paga tako i proračunskih korisnika, te prihodi od nefinancijske imovine koja se odnosi na prihode od zakupa te korištenja javnih površina</w:t>
      </w:r>
      <w:r w:rsidR="009E3B06" w:rsidRPr="00751C3A">
        <w:t>, koncesija, korištenja poljoprivrednog zemljišta te ostale naknade</w:t>
      </w:r>
      <w:r w:rsidRPr="00751C3A">
        <w:t>.</w:t>
      </w:r>
      <w:r w:rsidR="009D3CC8">
        <w:t xml:space="preserve"> Ovi prihodi planirani su u 202</w:t>
      </w:r>
      <w:r w:rsidR="00E67257">
        <w:t>6</w:t>
      </w:r>
      <w:r w:rsidRPr="00751C3A">
        <w:t xml:space="preserve">. i projekcijama u iznosu od </w:t>
      </w:r>
      <w:r w:rsidR="00E67257" w:rsidRPr="00E67257">
        <w:rPr>
          <w:rFonts w:eastAsia="Times New Roman"/>
          <w:bCs/>
          <w:lang w:eastAsia="hr-HR"/>
        </w:rPr>
        <w:t>1.189.330,00</w:t>
      </w:r>
      <w:r w:rsidRPr="00751C3A">
        <w:t xml:space="preserve"> EUR godišnje.</w:t>
      </w:r>
    </w:p>
    <w:p w14:paraId="04DBDCE7" w14:textId="77777777" w:rsidR="009D3CC8" w:rsidRDefault="009D3CC8" w:rsidP="00AA5C24">
      <w:pPr>
        <w:jc w:val="both"/>
        <w:rPr>
          <w:i/>
        </w:rPr>
      </w:pPr>
    </w:p>
    <w:p w14:paraId="01B64710" w14:textId="77777777" w:rsidR="00161890" w:rsidRPr="00751C3A" w:rsidRDefault="00161890" w:rsidP="00AA5C24">
      <w:pPr>
        <w:jc w:val="both"/>
        <w:rPr>
          <w:i/>
        </w:rPr>
      </w:pPr>
      <w:r w:rsidRPr="00751C3A">
        <w:rPr>
          <w:i/>
        </w:rPr>
        <w:t>Prihodi od upravnih i administrativnih pristojbi, pristojbi po posebnim propisima i naknada (65)</w:t>
      </w:r>
    </w:p>
    <w:p w14:paraId="48D0ECAE" w14:textId="73DF01C0" w:rsidR="00161890" w:rsidRPr="00751C3A" w:rsidRDefault="00161890" w:rsidP="00AA5C24">
      <w:pPr>
        <w:jc w:val="both"/>
      </w:pPr>
      <w:r w:rsidRPr="00751C3A">
        <w:t>U ovu skupinu prihoda planirani su prihodi od  prihodi od pristojbi, prihodi po posebnim propisima (naknade za elektroničku infrastrukturu, naknada za parkirališni prostor, pravo na uporabu elemenata čipke, naknade šteta,</w:t>
      </w:r>
      <w:r w:rsidR="009E3B06" w:rsidRPr="00751C3A">
        <w:t xml:space="preserve"> naknade za katastarsku izmjeru te ostale naknade) kao i </w:t>
      </w:r>
      <w:r w:rsidRPr="00751C3A">
        <w:t xml:space="preserve"> </w:t>
      </w:r>
      <w:r w:rsidR="009E3B06" w:rsidRPr="00751C3A">
        <w:t>prihod od komunalne naknade, komunalnog doprinosa, turističke pristojbe te prihodi od pristojbi proračunskih korisnik</w:t>
      </w:r>
      <w:r w:rsidR="009D3CC8">
        <w:t>a, Ovi prihodi planirani su za 202</w:t>
      </w:r>
      <w:r w:rsidR="00E67257">
        <w:t>6</w:t>
      </w:r>
      <w:r w:rsidR="009E3B06" w:rsidRPr="00751C3A">
        <w:t>.</w:t>
      </w:r>
      <w:r w:rsidR="009D3CC8">
        <w:t xml:space="preserve"> u iznosu od  </w:t>
      </w:r>
      <w:r w:rsidR="00E67257" w:rsidRPr="00E67257">
        <w:rPr>
          <w:rFonts w:eastAsia="Times New Roman"/>
          <w:bCs/>
          <w:lang w:eastAsia="hr-HR"/>
        </w:rPr>
        <w:t>4.339.840,00</w:t>
      </w:r>
      <w:r w:rsidR="009D3CC8">
        <w:t xml:space="preserve"> EUR</w:t>
      </w:r>
      <w:r w:rsidR="009E3B06" w:rsidRPr="00751C3A">
        <w:t xml:space="preserve"> te projekcijama za</w:t>
      </w:r>
      <w:r w:rsidR="009D3CC8">
        <w:t xml:space="preserve"> 202</w:t>
      </w:r>
      <w:r w:rsidR="00E67257">
        <w:t>7</w:t>
      </w:r>
      <w:r w:rsidR="009D3CC8">
        <w:t>. i 202</w:t>
      </w:r>
      <w:r w:rsidR="008D4B32">
        <w:t>8</w:t>
      </w:r>
      <w:r w:rsidR="009D3CC8">
        <w:t xml:space="preserve">. godinu u iznosu od </w:t>
      </w:r>
      <w:r w:rsidR="00E67257" w:rsidRPr="00E67257">
        <w:rPr>
          <w:rFonts w:eastAsia="Times New Roman"/>
          <w:bCs/>
          <w:lang w:eastAsia="hr-HR"/>
        </w:rPr>
        <w:t>3.765.040,00</w:t>
      </w:r>
      <w:r w:rsidR="009D3CC8">
        <w:t xml:space="preserve"> EUR</w:t>
      </w:r>
      <w:r w:rsidR="000C6066">
        <w:t xml:space="preserve"> godišnje</w:t>
      </w:r>
      <w:r w:rsidR="009D3CC8">
        <w:t xml:space="preserve">. </w:t>
      </w:r>
      <w:r w:rsidR="009E3B06" w:rsidRPr="00751C3A">
        <w:t xml:space="preserve"> </w:t>
      </w:r>
    </w:p>
    <w:p w14:paraId="1214AE13" w14:textId="77777777" w:rsidR="009E3B06" w:rsidRPr="00751C3A" w:rsidRDefault="009E3B06" w:rsidP="00AA5C24">
      <w:pPr>
        <w:jc w:val="both"/>
        <w:rPr>
          <w:i/>
        </w:rPr>
      </w:pPr>
      <w:r w:rsidRPr="00751C3A">
        <w:rPr>
          <w:i/>
        </w:rPr>
        <w:t>Prihodi od prodaje proizvoda i robe te pruženih usluga i prihodi od donacija (66)</w:t>
      </w:r>
    </w:p>
    <w:p w14:paraId="3E66D7BC" w14:textId="48A90C62" w:rsidR="001245E4" w:rsidRPr="00751C3A" w:rsidRDefault="009E3B06" w:rsidP="001245E4">
      <w:pPr>
        <w:jc w:val="both"/>
      </w:pPr>
      <w:r w:rsidRPr="00751C3A">
        <w:t xml:space="preserve">U ovu skupinu prihoda planirani su prihodi od  pružanja usluga kako Grada tako i proračunskih korisnika te </w:t>
      </w:r>
      <w:r w:rsidR="001245E4" w:rsidRPr="00751C3A">
        <w:t>primljene donacije pravnih i fizičkih osoba za realizaciju programa Grada i proračunskih korisnik</w:t>
      </w:r>
      <w:r w:rsidR="009D3CC8">
        <w:t>a. Ovi prihodi planirani su 202</w:t>
      </w:r>
      <w:r w:rsidR="008D4B32">
        <w:t>6</w:t>
      </w:r>
      <w:r w:rsidR="001245E4" w:rsidRPr="00751C3A">
        <w:t>.</w:t>
      </w:r>
      <w:r w:rsidR="000C6066">
        <w:t xml:space="preserve"> godini</w:t>
      </w:r>
      <w:r w:rsidR="008D4B32">
        <w:t xml:space="preserve"> i projekcijama</w:t>
      </w:r>
      <w:r w:rsidR="000C6066">
        <w:t xml:space="preserve"> sa </w:t>
      </w:r>
      <w:r w:rsidR="008D4B32" w:rsidRPr="008D4B32">
        <w:rPr>
          <w:rFonts w:eastAsia="Times New Roman"/>
          <w:bCs/>
          <w:lang w:eastAsia="hr-HR"/>
        </w:rPr>
        <w:t>87.220,00</w:t>
      </w:r>
      <w:r w:rsidR="008D4B32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0C6066">
        <w:t>EUR</w:t>
      </w:r>
      <w:r w:rsidR="009D3CC8">
        <w:t xml:space="preserve"> </w:t>
      </w:r>
      <w:r w:rsidR="001245E4" w:rsidRPr="00751C3A">
        <w:t xml:space="preserve"> </w:t>
      </w:r>
      <w:r w:rsidR="008D4B32">
        <w:t>godišnje</w:t>
      </w:r>
      <w:r w:rsidR="001245E4" w:rsidRPr="00751C3A">
        <w:t>.</w:t>
      </w:r>
    </w:p>
    <w:p w14:paraId="0A6F100E" w14:textId="77777777" w:rsidR="001245E4" w:rsidRPr="00751C3A" w:rsidRDefault="001245E4" w:rsidP="001245E4">
      <w:pPr>
        <w:jc w:val="both"/>
        <w:rPr>
          <w:i/>
        </w:rPr>
      </w:pPr>
      <w:r w:rsidRPr="00751C3A">
        <w:rPr>
          <w:i/>
        </w:rPr>
        <w:t>Kazne, upravne mjere i ostali prihodi  (68)</w:t>
      </w:r>
    </w:p>
    <w:p w14:paraId="61C7AADF" w14:textId="09F15E1E" w:rsidR="001245E4" w:rsidRPr="00751C3A" w:rsidRDefault="001245E4" w:rsidP="001245E4">
      <w:pPr>
        <w:jc w:val="both"/>
      </w:pPr>
      <w:r w:rsidRPr="00751C3A">
        <w:t>U ove prihode planirani su prihodi od kazni za prometne prekršaje, odnosno za nepropisno parkiranje na području Grada Paga te mandatne kazne izdane od strane komunalnog redarstv</w:t>
      </w:r>
      <w:r w:rsidR="009D3CC8">
        <w:t>a. Ovi prihodi planirani su 202</w:t>
      </w:r>
      <w:r w:rsidR="008D4B32">
        <w:t>6</w:t>
      </w:r>
      <w:r w:rsidRPr="00751C3A">
        <w:t xml:space="preserve">. te projekcijama za naredne dvije godine u iznosu od </w:t>
      </w:r>
      <w:r w:rsidR="008D4B32" w:rsidRPr="008D4B32">
        <w:rPr>
          <w:rFonts w:eastAsia="Times New Roman"/>
          <w:bCs/>
          <w:lang w:eastAsia="hr-HR"/>
        </w:rPr>
        <w:t>101.850,00</w:t>
      </w:r>
      <w:r w:rsidR="009D3CC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Pr="00751C3A">
        <w:t xml:space="preserve">EUR godišnje. </w:t>
      </w:r>
    </w:p>
    <w:p w14:paraId="43F31948" w14:textId="77777777" w:rsidR="001245E4" w:rsidRPr="00751C3A" w:rsidRDefault="001245E4" w:rsidP="001245E4">
      <w:pPr>
        <w:jc w:val="both"/>
      </w:pPr>
    </w:p>
    <w:p w14:paraId="601DCB0D" w14:textId="77777777" w:rsidR="001245E4" w:rsidRPr="00751C3A" w:rsidRDefault="001245E4" w:rsidP="001245E4">
      <w:pPr>
        <w:jc w:val="both"/>
        <w:rPr>
          <w:i/>
        </w:rPr>
      </w:pPr>
      <w:r w:rsidRPr="00751C3A">
        <w:rPr>
          <w:i/>
        </w:rPr>
        <w:t>Prihodi od prodaje nefinancijske imovine</w:t>
      </w:r>
    </w:p>
    <w:p w14:paraId="7203A123" w14:textId="5B0D46BC" w:rsidR="001245E4" w:rsidRPr="00751C3A" w:rsidRDefault="001245E4" w:rsidP="001245E4">
      <w:pPr>
        <w:jc w:val="both"/>
      </w:pPr>
      <w:r w:rsidRPr="00751C3A">
        <w:t>Ovu skupinu čine Prihodi od prodaje neproizvedene dugotrajne imovine</w:t>
      </w:r>
      <w:r w:rsidR="008D4B32">
        <w:t xml:space="preserve"> (71)</w:t>
      </w:r>
      <w:r w:rsidRPr="00751C3A">
        <w:t xml:space="preserve"> i Prihodi od prodaje proizvedene dugotrajne imovine</w:t>
      </w:r>
      <w:r w:rsidR="008D4B32">
        <w:t xml:space="preserve"> (72)</w:t>
      </w:r>
      <w:r w:rsidRPr="00751C3A">
        <w:t>.</w:t>
      </w:r>
      <w:r w:rsidR="008D4B32">
        <w:t xml:space="preserve"> Planirana je u 2026. godini u ukupnom iznosu od </w:t>
      </w:r>
      <w:r w:rsidR="008D4B32" w:rsidRPr="008D4B32">
        <w:rPr>
          <w:rFonts w:eastAsia="Times New Roman"/>
          <w:bCs/>
          <w:lang w:eastAsia="hr-HR"/>
        </w:rPr>
        <w:t>1.110.008,00</w:t>
      </w:r>
      <w:r w:rsidR="008D4B32">
        <w:t xml:space="preserve"> EUR a u projekcijama </w:t>
      </w:r>
      <w:r w:rsidR="008D4B32" w:rsidRPr="008D4B32">
        <w:rPr>
          <w:rFonts w:eastAsia="Times New Roman"/>
          <w:bCs/>
          <w:lang w:eastAsia="hr-HR"/>
        </w:rPr>
        <w:t>205.008,00</w:t>
      </w:r>
      <w:r w:rsidR="008D4B32">
        <w:t xml:space="preserve"> EUR godišnje.</w:t>
      </w:r>
    </w:p>
    <w:p w14:paraId="1049BFBE" w14:textId="77777777" w:rsidR="001245E4" w:rsidRPr="00751C3A" w:rsidRDefault="001245E4" w:rsidP="001245E4">
      <w:pPr>
        <w:jc w:val="both"/>
        <w:rPr>
          <w:i/>
        </w:rPr>
      </w:pPr>
      <w:r w:rsidRPr="00751C3A">
        <w:rPr>
          <w:i/>
        </w:rPr>
        <w:t>Prihodi od prodaje neproizvedene dugotrajne imovine (71)</w:t>
      </w:r>
    </w:p>
    <w:p w14:paraId="784D9198" w14:textId="2A62A828" w:rsidR="007965D6" w:rsidRPr="00751C3A" w:rsidRDefault="009D3CC8" w:rsidP="001245E4">
      <w:pPr>
        <w:jc w:val="both"/>
      </w:pPr>
      <w:r>
        <w:t>Ovi prihodi planirani su u 202</w:t>
      </w:r>
      <w:r w:rsidR="008D4B32">
        <w:t>6</w:t>
      </w:r>
      <w:r w:rsidR="007965D6" w:rsidRPr="00751C3A">
        <w:t>.</w:t>
      </w:r>
      <w:r w:rsidR="008D4B32">
        <w:t xml:space="preserve"> </w:t>
      </w:r>
      <w:r w:rsidR="00307AD0">
        <w:t xml:space="preserve">u iznosu od </w:t>
      </w:r>
      <w:r w:rsidR="00307AD0" w:rsidRPr="00307AD0">
        <w:rPr>
          <w:rFonts w:eastAsia="Times New Roman"/>
          <w:bCs/>
          <w:lang w:eastAsia="hr-HR"/>
        </w:rPr>
        <w:t>1.109.508,00</w:t>
      </w:r>
      <w:r w:rsidR="00307AD0">
        <w:t xml:space="preserve"> EUR</w:t>
      </w:r>
      <w:r w:rsidR="007965D6" w:rsidRPr="00751C3A">
        <w:t xml:space="preserve"> te u projekcijama za naredne dvije godine u iznosu od </w:t>
      </w:r>
      <w:r w:rsidR="00307AD0" w:rsidRPr="00307AD0">
        <w:rPr>
          <w:rFonts w:eastAsia="Times New Roman"/>
          <w:bCs/>
          <w:lang w:eastAsia="hr-HR"/>
        </w:rPr>
        <w:t>204.508,00</w:t>
      </w:r>
      <w:r w:rsidR="00307AD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7965D6" w:rsidRPr="00751C3A">
        <w:t>EUR</w:t>
      </w:r>
      <w:r w:rsidR="00307AD0">
        <w:t>,</w:t>
      </w:r>
      <w:r w:rsidR="007965D6" w:rsidRPr="00751C3A">
        <w:t xml:space="preserve"> a odnose se na</w:t>
      </w:r>
      <w:r w:rsidR="00B844A4" w:rsidRPr="00751C3A">
        <w:t xml:space="preserve"> </w:t>
      </w:r>
      <w:r w:rsidR="007965D6" w:rsidRPr="00751C3A">
        <w:t>prodaju nekretnina (zemljišta i prostora) u vlasništvu Grada Paga.</w:t>
      </w:r>
    </w:p>
    <w:p w14:paraId="52D76F8D" w14:textId="77777777" w:rsidR="00B844A4" w:rsidRPr="00751C3A" w:rsidRDefault="00B844A4" w:rsidP="001245E4">
      <w:pPr>
        <w:jc w:val="both"/>
        <w:rPr>
          <w:i/>
        </w:rPr>
      </w:pPr>
      <w:r w:rsidRPr="00751C3A">
        <w:rPr>
          <w:i/>
        </w:rPr>
        <w:t>Prihodi od prodaje proizvedene dugotrajne imovine (72)</w:t>
      </w:r>
    </w:p>
    <w:p w14:paraId="2DDF4D77" w14:textId="748F2127" w:rsidR="00B844A4" w:rsidRPr="00751C3A" w:rsidRDefault="00E2116A" w:rsidP="00B844A4">
      <w:pPr>
        <w:jc w:val="both"/>
      </w:pPr>
      <w:r>
        <w:t>Ovi prihodi planirani su u 202</w:t>
      </w:r>
      <w:r w:rsidR="00307AD0">
        <w:t>6</w:t>
      </w:r>
      <w:r w:rsidR="00B844A4" w:rsidRPr="00751C3A">
        <w:t>. te u projekcijama za na</w:t>
      </w:r>
      <w:r>
        <w:t>redne dvije godine u iznosu od 5</w:t>
      </w:r>
      <w:r w:rsidR="00B844A4" w:rsidRPr="00751C3A">
        <w:t>00,00 EUR a odnose se na ostvarenje od prodaje stanova u društvenom vlasništvu.</w:t>
      </w:r>
    </w:p>
    <w:p w14:paraId="6AAB8E84" w14:textId="77777777" w:rsidR="00B844A4" w:rsidRDefault="00B844A4" w:rsidP="00B844A4">
      <w:pPr>
        <w:jc w:val="both"/>
      </w:pPr>
    </w:p>
    <w:p w14:paraId="51147455" w14:textId="0C7525C7" w:rsidR="003610B5" w:rsidRPr="003610B5" w:rsidRDefault="003610B5" w:rsidP="00B844A4">
      <w:pPr>
        <w:jc w:val="both"/>
        <w:rPr>
          <w:bCs/>
          <w:i/>
          <w:iCs/>
        </w:rPr>
      </w:pPr>
      <w:r w:rsidRPr="003610B5">
        <w:rPr>
          <w:bCs/>
          <w:i/>
          <w:iCs/>
        </w:rPr>
        <w:t>Primici od</w:t>
      </w:r>
      <w:r>
        <w:rPr>
          <w:bCs/>
          <w:i/>
          <w:iCs/>
        </w:rPr>
        <w:t xml:space="preserve"> financijske imovine i</w:t>
      </w:r>
      <w:r w:rsidRPr="003610B5">
        <w:rPr>
          <w:bCs/>
          <w:i/>
          <w:iCs/>
        </w:rPr>
        <w:t xml:space="preserve"> zaduživanja</w:t>
      </w:r>
    </w:p>
    <w:p w14:paraId="0FE0FCD8" w14:textId="0536FB91" w:rsidR="003610B5" w:rsidRDefault="003610B5" w:rsidP="003610B5">
      <w:pPr>
        <w:pStyle w:val="Default"/>
        <w:jc w:val="both"/>
        <w:rPr>
          <w:rFonts w:ascii="Times New Roman" w:hAnsi="Times New Roman" w:cs="Times New Roman"/>
        </w:rPr>
      </w:pPr>
      <w:r w:rsidRPr="003610B5">
        <w:rPr>
          <w:rFonts w:ascii="Times New Roman" w:hAnsi="Times New Roman" w:cs="Times New Roman"/>
        </w:rPr>
        <w:t xml:space="preserve">Ovu skupinu čine Primici od financijske imovine i </w:t>
      </w:r>
      <w:r>
        <w:rPr>
          <w:rFonts w:ascii="Times New Roman" w:hAnsi="Times New Roman" w:cs="Times New Roman"/>
        </w:rPr>
        <w:t xml:space="preserve">primici od </w:t>
      </w:r>
      <w:r w:rsidRPr="003610B5">
        <w:rPr>
          <w:rFonts w:ascii="Times New Roman" w:hAnsi="Times New Roman" w:cs="Times New Roman"/>
        </w:rPr>
        <w:t>zaduživanja</w:t>
      </w:r>
      <w:r>
        <w:rPr>
          <w:rFonts w:ascii="Times New Roman" w:hAnsi="Times New Roman" w:cs="Times New Roman"/>
        </w:rPr>
        <w:t>.</w:t>
      </w:r>
    </w:p>
    <w:p w14:paraId="09C1378E" w14:textId="77777777" w:rsidR="003610B5" w:rsidRDefault="003610B5" w:rsidP="003610B5">
      <w:pPr>
        <w:pStyle w:val="Default"/>
        <w:jc w:val="both"/>
        <w:rPr>
          <w:rFonts w:ascii="Times New Roman" w:hAnsi="Times New Roman" w:cs="Times New Roman"/>
        </w:rPr>
      </w:pPr>
    </w:p>
    <w:p w14:paraId="0303EB14" w14:textId="77777777" w:rsidR="00B03AC8" w:rsidRDefault="00B03AC8" w:rsidP="003610B5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5AC7841D" w14:textId="77777777" w:rsidR="00B03AC8" w:rsidRDefault="00B03AC8" w:rsidP="003610B5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0C4E6925" w14:textId="77777777" w:rsidR="00B03AC8" w:rsidRDefault="00B03AC8" w:rsidP="003610B5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0CC90123" w14:textId="77777777" w:rsidR="00B03AC8" w:rsidRDefault="00B03AC8" w:rsidP="003610B5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5AD2E025" w14:textId="372475D3" w:rsidR="003610B5" w:rsidRPr="003610B5" w:rsidRDefault="003610B5" w:rsidP="003610B5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3610B5">
        <w:rPr>
          <w:rFonts w:ascii="Times New Roman" w:hAnsi="Times New Roman" w:cs="Times New Roman"/>
          <w:i/>
          <w:iCs/>
        </w:rPr>
        <w:t>Primici od zaduživanja (84)</w:t>
      </w:r>
    </w:p>
    <w:p w14:paraId="18358565" w14:textId="77777777" w:rsidR="003610B5" w:rsidRDefault="003610B5" w:rsidP="003610B5">
      <w:pPr>
        <w:pStyle w:val="Default"/>
        <w:jc w:val="both"/>
        <w:rPr>
          <w:rFonts w:ascii="Times New Roman" w:hAnsi="Times New Roman" w:cs="Times New Roman"/>
        </w:rPr>
      </w:pPr>
    </w:p>
    <w:p w14:paraId="588BD2E0" w14:textId="1A7FBF98" w:rsidR="003610B5" w:rsidRPr="003610B5" w:rsidRDefault="00307AD0" w:rsidP="003610B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 primici planirani su u 2026</w:t>
      </w:r>
      <w:r w:rsidR="00B03AC8">
        <w:rPr>
          <w:rFonts w:ascii="Times New Roman" w:hAnsi="Times New Roman" w:cs="Times New Roman"/>
        </w:rPr>
        <w:t xml:space="preserve">. godini u iznosu od </w:t>
      </w:r>
      <w:r w:rsidRPr="00307AD0">
        <w:rPr>
          <w:rFonts w:ascii="Times New Roman" w:eastAsia="Times New Roman" w:hAnsi="Times New Roman" w:cs="Times New Roman"/>
          <w:bCs/>
          <w:lang w:eastAsia="hr-HR"/>
        </w:rPr>
        <w:t>1.651.200,00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 w:rsidR="00B03AC8">
        <w:rPr>
          <w:rFonts w:ascii="Times New Roman" w:hAnsi="Times New Roman" w:cs="Times New Roman"/>
        </w:rPr>
        <w:t xml:space="preserve">EUR i predstavljaju planirane primitke od zaduživanja Grada Paga za pred financiranje projekta Uređenja magazina soli u iznosu od 1.000.000,00 EUR, </w:t>
      </w:r>
      <w:r w:rsidR="008E32DD">
        <w:rPr>
          <w:rFonts w:ascii="Times New Roman" w:hAnsi="Times New Roman" w:cs="Times New Roman"/>
        </w:rPr>
        <w:t>te</w:t>
      </w:r>
      <w:r w:rsidR="00B03AC8">
        <w:rPr>
          <w:rFonts w:ascii="Times New Roman" w:hAnsi="Times New Roman" w:cs="Times New Roman"/>
        </w:rPr>
        <w:t xml:space="preserve"> pred financiranje projekta izgradnje sortirnice otpada u iznosu od 651.200,00 EUR </w:t>
      </w:r>
      <w:r w:rsidR="008E32DD">
        <w:rPr>
          <w:rFonts w:ascii="Times New Roman" w:hAnsi="Times New Roman" w:cs="Times New Roman"/>
        </w:rPr>
        <w:t>EUR. U 2027</w:t>
      </w:r>
      <w:r w:rsidR="00B03AC8">
        <w:rPr>
          <w:rFonts w:ascii="Times New Roman" w:hAnsi="Times New Roman" w:cs="Times New Roman"/>
        </w:rPr>
        <w:t>. godini planirani su primici Grada Paga u izno</w:t>
      </w:r>
      <w:r w:rsidR="008E32DD">
        <w:rPr>
          <w:rFonts w:ascii="Times New Roman" w:hAnsi="Times New Roman" w:cs="Times New Roman"/>
        </w:rPr>
        <w:t>su od 2.000.000,00 EUR te u 2028</w:t>
      </w:r>
      <w:r w:rsidR="00B03AC8">
        <w:rPr>
          <w:rFonts w:ascii="Times New Roman" w:hAnsi="Times New Roman" w:cs="Times New Roman"/>
        </w:rPr>
        <w:t>. godini u iznosu od 400.000,00 EUR za projekt Uređenja magazina soli.</w:t>
      </w:r>
    </w:p>
    <w:p w14:paraId="2B05BF6F" w14:textId="0BAA41C5" w:rsidR="003610B5" w:rsidRDefault="003610B5" w:rsidP="00B844A4">
      <w:pPr>
        <w:jc w:val="both"/>
        <w:rPr>
          <w:bCs/>
        </w:rPr>
      </w:pPr>
    </w:p>
    <w:p w14:paraId="5924DD8B" w14:textId="77777777" w:rsidR="003610B5" w:rsidRDefault="003610B5" w:rsidP="00B844A4">
      <w:pPr>
        <w:jc w:val="both"/>
      </w:pPr>
    </w:p>
    <w:p w14:paraId="2E18E291" w14:textId="77777777" w:rsidR="00E2116A" w:rsidRPr="00751C3A" w:rsidRDefault="00E2116A" w:rsidP="00B844A4">
      <w:pPr>
        <w:jc w:val="both"/>
      </w:pPr>
    </w:p>
    <w:p w14:paraId="0BB8A694" w14:textId="77777777" w:rsidR="00B844A4" w:rsidRPr="00751C3A" w:rsidRDefault="00B844A4" w:rsidP="00B844A4">
      <w:pPr>
        <w:jc w:val="both"/>
        <w:rPr>
          <w:i/>
          <w:u w:val="single"/>
        </w:rPr>
      </w:pPr>
      <w:r w:rsidRPr="00751C3A">
        <w:rPr>
          <w:i/>
          <w:u w:val="single"/>
        </w:rPr>
        <w:t>Rashodi i izdaci</w:t>
      </w:r>
    </w:p>
    <w:p w14:paraId="45DB28D6" w14:textId="3B015165" w:rsidR="00B844A4" w:rsidRPr="00751C3A" w:rsidRDefault="002A3B57" w:rsidP="00B844A4">
      <w:pPr>
        <w:jc w:val="both"/>
      </w:pPr>
      <w:r w:rsidRPr="00751C3A">
        <w:t xml:space="preserve">Ukupni rashodi i izdaci </w:t>
      </w:r>
      <w:r w:rsidR="00E2116A">
        <w:t>proračuna planirani su u za 202</w:t>
      </w:r>
      <w:r w:rsidR="008E32DD">
        <w:t>6</w:t>
      </w:r>
      <w:r w:rsidRPr="00751C3A">
        <w:t xml:space="preserve">. u iznosu od </w:t>
      </w:r>
      <w:r w:rsidR="008E32DD">
        <w:rPr>
          <w:rFonts w:eastAsia="Times New Roman"/>
          <w:bCs/>
          <w:lang w:eastAsia="hr-HR"/>
        </w:rPr>
        <w:t>21.487.000</w:t>
      </w:r>
      <w:r w:rsidR="00E2116A" w:rsidRPr="00E2116A">
        <w:rPr>
          <w:rFonts w:eastAsia="Times New Roman"/>
          <w:bCs/>
          <w:lang w:eastAsia="hr-HR"/>
        </w:rPr>
        <w:t>,00</w:t>
      </w:r>
      <w:r w:rsidR="00E2116A">
        <w:t xml:space="preserve"> EUR dok je za 202</w:t>
      </w:r>
      <w:r w:rsidR="008E32DD">
        <w:t>7</w:t>
      </w:r>
      <w:r w:rsidRPr="00751C3A">
        <w:t>.</w:t>
      </w:r>
      <w:r w:rsidR="00E2116A">
        <w:t xml:space="preserve"> predviđen iznos od </w:t>
      </w:r>
      <w:r w:rsidR="008E32DD">
        <w:rPr>
          <w:rFonts w:eastAsia="Times New Roman"/>
          <w:bCs/>
          <w:lang w:eastAsia="hr-HR"/>
        </w:rPr>
        <w:t>21.558.100</w:t>
      </w:r>
      <w:r w:rsidR="00E2116A">
        <w:t xml:space="preserve"> EUR i 202</w:t>
      </w:r>
      <w:r w:rsidR="008E32DD">
        <w:t>8</w:t>
      </w:r>
      <w:r w:rsidR="00E2116A">
        <w:t>. planiran</w:t>
      </w:r>
      <w:r w:rsidRPr="00751C3A">
        <w:t xml:space="preserve">i </w:t>
      </w:r>
      <w:r w:rsidR="00E2116A">
        <w:t>iznos je</w:t>
      </w:r>
      <w:r w:rsidRPr="00751C3A">
        <w:t xml:space="preserve"> </w:t>
      </w:r>
      <w:r w:rsidR="00A10B8F">
        <w:rPr>
          <w:rFonts w:eastAsia="Times New Roman"/>
          <w:bCs/>
          <w:lang w:eastAsia="hr-HR"/>
        </w:rPr>
        <w:t>18.258.100,00</w:t>
      </w:r>
      <w:r w:rsidR="00E2116A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Pr="00751C3A">
        <w:t>EUR.</w:t>
      </w:r>
    </w:p>
    <w:p w14:paraId="03BA6A42" w14:textId="5773CBC5" w:rsidR="002A3B57" w:rsidRPr="00751C3A" w:rsidRDefault="002A3B57" w:rsidP="00B844A4">
      <w:pPr>
        <w:jc w:val="both"/>
      </w:pPr>
      <w:r w:rsidRPr="00751C3A">
        <w:t xml:space="preserve">Od navedenog </w:t>
      </w:r>
      <w:r w:rsidR="00A10B8F">
        <w:t xml:space="preserve">ukupnog </w:t>
      </w:r>
      <w:r w:rsidRPr="00751C3A">
        <w:t xml:space="preserve">iznosa rashoda i izdataka </w:t>
      </w:r>
      <w:r w:rsidR="00A10B8F">
        <w:t>u 2026</w:t>
      </w:r>
      <w:r w:rsidR="00E321E6">
        <w:t xml:space="preserve">. godini </w:t>
      </w:r>
      <w:r w:rsidRPr="00751C3A">
        <w:t xml:space="preserve">iznos od </w:t>
      </w:r>
      <w:r w:rsidR="00A10B8F">
        <w:t>1.134.062,00</w:t>
      </w:r>
      <w:r w:rsidR="00650F80" w:rsidRPr="00751C3A">
        <w:t xml:space="preserve"> EUR odnosi se na Javnu vatrogasnu postrojbu</w:t>
      </w:r>
      <w:r w:rsidR="00E321E6">
        <w:t xml:space="preserve"> Pag</w:t>
      </w:r>
      <w:r w:rsidR="00B75514">
        <w:t xml:space="preserve">, </w:t>
      </w:r>
      <w:r w:rsidR="00A10B8F">
        <w:t>149.690,00</w:t>
      </w:r>
      <w:r w:rsidR="00650F80" w:rsidRPr="00751C3A">
        <w:t xml:space="preserve"> EUR odnosi </w:t>
      </w:r>
      <w:r w:rsidR="00852054">
        <w:t xml:space="preserve">se na Gradsku knjižnicu Pag te </w:t>
      </w:r>
      <w:r w:rsidR="00A10B8F">
        <w:t>1.389.200</w:t>
      </w:r>
      <w:r w:rsidR="00650F80" w:rsidRPr="00751C3A">
        <w:t xml:space="preserve"> EUR na Dječji vrtić Paški mališani</w:t>
      </w:r>
      <w:r w:rsidR="00E321E6">
        <w:t xml:space="preserve"> Pag</w:t>
      </w:r>
      <w:r w:rsidR="00650F80" w:rsidRPr="00751C3A">
        <w:t>.</w:t>
      </w:r>
      <w:r w:rsidR="00E321E6">
        <w:t xml:space="preserve"> </w:t>
      </w:r>
      <w:r w:rsidR="00A10B8F">
        <w:t>Isti iznosi predviđeni su i u projekcijama za 2027. i 2028. godinu</w:t>
      </w:r>
      <w:r w:rsidR="000B5DBC">
        <w:t>.</w:t>
      </w:r>
    </w:p>
    <w:p w14:paraId="218B0CF1" w14:textId="2E7B0B07" w:rsidR="00650F80" w:rsidRPr="00751C3A" w:rsidRDefault="00650F80" w:rsidP="00B844A4">
      <w:pPr>
        <w:jc w:val="both"/>
      </w:pPr>
      <w:r w:rsidRPr="00751C3A">
        <w:t>Ukupni Rashodi i izdaci sastoje se od Ra</w:t>
      </w:r>
      <w:r w:rsidR="00B75514">
        <w:t>shoda poslovanja</w:t>
      </w:r>
      <w:r w:rsidR="00624B28">
        <w:t xml:space="preserve"> (3)</w:t>
      </w:r>
      <w:r w:rsidR="00A10B8F">
        <w:t>,</w:t>
      </w:r>
      <w:r w:rsidR="00B75514">
        <w:t xml:space="preserve"> koji su za 202</w:t>
      </w:r>
      <w:r w:rsidR="00A10B8F">
        <w:t>6</w:t>
      </w:r>
      <w:r w:rsidRPr="00751C3A">
        <w:t>.</w:t>
      </w:r>
      <w:r w:rsidR="00624B28">
        <w:t xml:space="preserve"> i u projekcijama za 2027. i 2028.</w:t>
      </w:r>
      <w:r w:rsidRPr="00751C3A">
        <w:t xml:space="preserve"> planirani u iznosu od </w:t>
      </w:r>
      <w:r w:rsidR="00A10B8F" w:rsidRPr="00A10B8F">
        <w:rPr>
          <w:rFonts w:eastAsia="Times New Roman"/>
          <w:bCs/>
          <w:lang w:eastAsia="hr-HR"/>
        </w:rPr>
        <w:t>11.274.027,00</w:t>
      </w:r>
      <w:r w:rsidR="00B75514">
        <w:t xml:space="preserve"> EUR</w:t>
      </w:r>
      <w:r w:rsidR="00624B28">
        <w:t xml:space="preserve"> godišnje,</w:t>
      </w:r>
      <w:r w:rsidR="00B75514">
        <w:t xml:space="preserve"> </w:t>
      </w:r>
      <w:r w:rsidRPr="00751C3A">
        <w:t>zatim od Rashoda za nabavu nefin</w:t>
      </w:r>
      <w:r w:rsidR="00B75514">
        <w:t>ancijske imovine</w:t>
      </w:r>
      <w:r w:rsidR="00624B28">
        <w:t xml:space="preserve"> (4)</w:t>
      </w:r>
      <w:r w:rsidR="00B75514">
        <w:t xml:space="preserve"> koji su za 202</w:t>
      </w:r>
      <w:r w:rsidR="00624B28">
        <w:t>6</w:t>
      </w:r>
      <w:r w:rsidRPr="00751C3A">
        <w:t>.</w:t>
      </w:r>
      <w:r w:rsidR="00B75514">
        <w:t xml:space="preserve"> planirani u iznosu od </w:t>
      </w:r>
      <w:r w:rsidR="00624B28" w:rsidRPr="00624B28">
        <w:rPr>
          <w:rFonts w:eastAsia="Times New Roman"/>
          <w:bCs/>
          <w:lang w:eastAsia="hr-HR"/>
        </w:rPr>
        <w:t>8.362.523,00</w:t>
      </w:r>
      <w:r w:rsidR="00B75514">
        <w:t xml:space="preserve"> EUR te za  202</w:t>
      </w:r>
      <w:r w:rsidR="00624B28">
        <w:t>7</w:t>
      </w:r>
      <w:r w:rsidR="00B75514">
        <w:t xml:space="preserve">. u iznosu od </w:t>
      </w:r>
      <w:r w:rsidR="00624B28" w:rsidRPr="00624B28">
        <w:rPr>
          <w:rFonts w:eastAsia="Times New Roman"/>
          <w:bCs/>
          <w:lang w:eastAsia="hr-HR"/>
        </w:rPr>
        <w:t>9.084.823,00</w:t>
      </w:r>
      <w:r w:rsidR="00B75514">
        <w:t xml:space="preserve"> EUR i 202</w:t>
      </w:r>
      <w:r w:rsidR="00624B28">
        <w:t>8</w:t>
      </w:r>
      <w:r w:rsidR="00B75514">
        <w:t xml:space="preserve">. u iznosu od </w:t>
      </w:r>
      <w:r w:rsidR="00624B28" w:rsidRPr="00624B28">
        <w:rPr>
          <w:rFonts w:eastAsia="Times New Roman"/>
          <w:bCs/>
          <w:lang w:eastAsia="hr-HR"/>
        </w:rPr>
        <w:t>6.384.823,00</w:t>
      </w:r>
      <w:r w:rsidR="00B75514">
        <w:t xml:space="preserve"> EUR</w:t>
      </w:r>
      <w:r w:rsidRPr="00751C3A">
        <w:t xml:space="preserve">, </w:t>
      </w:r>
      <w:r w:rsidR="00E31AEB" w:rsidRPr="00751C3A">
        <w:t>te Izdataka za financijsku imovinu i otplate zajmova</w:t>
      </w:r>
      <w:r w:rsidR="00624B28">
        <w:t xml:space="preserve"> (5)</w:t>
      </w:r>
      <w:r w:rsidRPr="00751C3A">
        <w:t xml:space="preserve"> </w:t>
      </w:r>
      <w:r w:rsidR="00C33B2F">
        <w:t>koji su za 202</w:t>
      </w:r>
      <w:r w:rsidR="00624B28">
        <w:t>6</w:t>
      </w:r>
      <w:r w:rsidR="00E31AEB" w:rsidRPr="00751C3A">
        <w:t>.</w:t>
      </w:r>
      <w:r w:rsidR="00624B28">
        <w:t xml:space="preserve"> planirani</w:t>
      </w:r>
      <w:r w:rsidR="00DF7FA4">
        <w:t xml:space="preserve"> u iznosu od </w:t>
      </w:r>
      <w:r w:rsidR="00624B28" w:rsidRPr="00624B28">
        <w:rPr>
          <w:rFonts w:eastAsia="Times New Roman"/>
          <w:bCs/>
          <w:lang w:eastAsia="hr-HR"/>
        </w:rPr>
        <w:t>1.850.450,00</w:t>
      </w:r>
      <w:r w:rsidR="00DF7FA4">
        <w:t xml:space="preserve"> EUR</w:t>
      </w:r>
      <w:r w:rsidR="00E31AEB" w:rsidRPr="00751C3A">
        <w:t xml:space="preserve"> </w:t>
      </w:r>
      <w:r w:rsidR="00624B28">
        <w:t>, za 2027</w:t>
      </w:r>
      <w:r w:rsidR="00DF7FA4">
        <w:t xml:space="preserve">. u iznosu od </w:t>
      </w:r>
      <w:r w:rsidR="00624B28" w:rsidRPr="00624B28">
        <w:rPr>
          <w:rFonts w:eastAsia="Times New Roman"/>
          <w:bCs/>
          <w:lang w:eastAsia="hr-HR"/>
        </w:rPr>
        <w:t>2.199.250,00</w:t>
      </w:r>
      <w:r w:rsidR="00624B28">
        <w:t xml:space="preserve"> EUR i 2028</w:t>
      </w:r>
      <w:r w:rsidR="00DF7FA4">
        <w:t xml:space="preserve">. u iznosu  od </w:t>
      </w:r>
      <w:r w:rsidR="00624B28" w:rsidRPr="00624B28">
        <w:rPr>
          <w:rFonts w:eastAsia="Times New Roman"/>
          <w:bCs/>
          <w:lang w:eastAsia="hr-HR"/>
        </w:rPr>
        <w:t>599.250,00</w:t>
      </w:r>
      <w:r w:rsidR="00624B2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DF7FA4">
        <w:t>EUR</w:t>
      </w:r>
      <w:r w:rsidR="00E31AEB" w:rsidRPr="00751C3A">
        <w:t>.</w:t>
      </w:r>
    </w:p>
    <w:p w14:paraId="6E7C3E68" w14:textId="77777777" w:rsidR="00E31AEB" w:rsidRPr="00751C3A" w:rsidRDefault="00E31AEB" w:rsidP="00B844A4">
      <w:pPr>
        <w:jc w:val="both"/>
      </w:pPr>
    </w:p>
    <w:p w14:paraId="2F731936" w14:textId="77777777" w:rsidR="00E31AEB" w:rsidRPr="00751C3A" w:rsidRDefault="00E31AEB" w:rsidP="00B844A4">
      <w:pPr>
        <w:jc w:val="both"/>
        <w:rPr>
          <w:i/>
        </w:rPr>
      </w:pPr>
      <w:r w:rsidRPr="00751C3A">
        <w:rPr>
          <w:i/>
        </w:rPr>
        <w:t>Rashodi poslovanja</w:t>
      </w:r>
    </w:p>
    <w:p w14:paraId="6D9B0927" w14:textId="77777777" w:rsidR="006747FD" w:rsidRPr="00751C3A" w:rsidRDefault="006747FD" w:rsidP="00B844A4">
      <w:pPr>
        <w:jc w:val="both"/>
      </w:pPr>
      <w:r w:rsidRPr="00751C3A">
        <w:t xml:space="preserve">U ovu skupinu rashoda spadaju Rashodi za zaposlene (31), Materijalni rashodi (32), Financijski rashodi (34), Subvencije (35), </w:t>
      </w:r>
      <w:r w:rsidR="00A82717" w:rsidRPr="00A82717">
        <w:rPr>
          <w:rFonts w:eastAsia="Times New Roman"/>
          <w:bCs/>
          <w:lang w:eastAsia="hr-HR"/>
        </w:rPr>
        <w:t>Pomoći dane u inozemstvo i unutar općeg proračuna</w:t>
      </w:r>
      <w:r w:rsidR="00A82717">
        <w:t xml:space="preserve"> (36),</w:t>
      </w:r>
      <w:r w:rsidR="00A82717" w:rsidRPr="00751C3A">
        <w:t xml:space="preserve"> </w:t>
      </w:r>
      <w:r w:rsidRPr="00751C3A">
        <w:t>Naknade građanima i kućanstvima na temelju osiguranja i druge naknade (37) te Ostali rashodi (38).</w:t>
      </w:r>
    </w:p>
    <w:p w14:paraId="6FBB0384" w14:textId="77777777" w:rsidR="006747FD" w:rsidRPr="00751C3A" w:rsidRDefault="006747FD" w:rsidP="00B844A4">
      <w:pPr>
        <w:jc w:val="both"/>
        <w:rPr>
          <w:i/>
        </w:rPr>
      </w:pPr>
      <w:r w:rsidRPr="00751C3A">
        <w:rPr>
          <w:i/>
        </w:rPr>
        <w:t>Rashodi za zaposlene (31)</w:t>
      </w:r>
    </w:p>
    <w:p w14:paraId="7482E3F3" w14:textId="3DEAF146" w:rsidR="00147308" w:rsidRDefault="006747FD" w:rsidP="00B844A4">
      <w:pPr>
        <w:jc w:val="both"/>
      </w:pPr>
      <w:r w:rsidRPr="00751C3A">
        <w:t xml:space="preserve">Rashodi za zaposlene odnose se na plaće i doprinose na plaće te ostale rashode za zaposlene vezane uz materijalna prava zaposlenih u upravnim tijelima Grada te kod proračunskih korisnika.  </w:t>
      </w:r>
      <w:r w:rsidR="00624B28">
        <w:t>O</w:t>
      </w:r>
      <w:r w:rsidR="00C33B2F">
        <w:t xml:space="preserve">vi rashodi planirani su </w:t>
      </w:r>
      <w:r w:rsidR="00624B28">
        <w:t>za</w:t>
      </w:r>
      <w:r w:rsidR="00C33B2F">
        <w:t xml:space="preserve"> 202</w:t>
      </w:r>
      <w:r w:rsidR="00624B28">
        <w:t>6</w:t>
      </w:r>
      <w:r w:rsidR="00DF7FA4">
        <w:t>.</w:t>
      </w:r>
      <w:r w:rsidR="00624B28">
        <w:t xml:space="preserve"> te u projekcijama za naredne dvije godine </w:t>
      </w:r>
      <w:r w:rsidR="00DF7FA4">
        <w:t xml:space="preserve"> u iznosu od </w:t>
      </w:r>
      <w:r w:rsidR="00624B28" w:rsidRPr="00624B28">
        <w:rPr>
          <w:rFonts w:eastAsia="Times New Roman"/>
          <w:bCs/>
          <w:lang w:eastAsia="hr-HR"/>
        </w:rPr>
        <w:t>3.595.557,00</w:t>
      </w:r>
      <w:r w:rsidR="00DF7FA4">
        <w:t xml:space="preserve"> EUR</w:t>
      </w:r>
      <w:r w:rsidR="00624B28">
        <w:t xml:space="preserve"> godišnje</w:t>
      </w:r>
      <w:r w:rsidR="00147308" w:rsidRPr="00751C3A">
        <w:t>.</w:t>
      </w:r>
    </w:p>
    <w:p w14:paraId="7936EE9B" w14:textId="77777777" w:rsidR="00624B28" w:rsidRPr="00751C3A" w:rsidRDefault="00624B28" w:rsidP="00B844A4">
      <w:pPr>
        <w:jc w:val="both"/>
      </w:pPr>
    </w:p>
    <w:p w14:paraId="5C6FCB00" w14:textId="77777777" w:rsidR="00147308" w:rsidRPr="00751C3A" w:rsidRDefault="00147308" w:rsidP="00B844A4">
      <w:pPr>
        <w:jc w:val="both"/>
        <w:rPr>
          <w:i/>
        </w:rPr>
      </w:pPr>
      <w:r w:rsidRPr="00751C3A">
        <w:rPr>
          <w:i/>
        </w:rPr>
        <w:lastRenderedPageBreak/>
        <w:t>Materijalni rashodi (32)</w:t>
      </w:r>
    </w:p>
    <w:p w14:paraId="47CBA43A" w14:textId="4A120EDB" w:rsidR="00A82717" w:rsidRDefault="00147308" w:rsidP="00B844A4">
      <w:pPr>
        <w:jc w:val="both"/>
        <w:rPr>
          <w:rFonts w:eastAsia="Times New Roman"/>
          <w:bCs/>
          <w:lang w:eastAsia="hr-HR"/>
        </w:rPr>
      </w:pPr>
      <w:r w:rsidRPr="00751C3A">
        <w:t xml:space="preserve">U ovu skupinu rashoda ulaze naknade troškova zaposlenima, rashodi za energiju i materijal, rashodi za usluge, naknade troškova osobama izvan radnog odnosa, te ostali nespomenuti rashodi poslovanja kao što su naknade za rad predstavničkih i izvršnih tijela, premije osiguranja, reprezentacija, pristojbe i naknade i dr. </w:t>
      </w:r>
      <w:r w:rsidR="00A82717">
        <w:t>Ovi rashodi planirani su za 202</w:t>
      </w:r>
      <w:r w:rsidR="006E06B0">
        <w:t>6</w:t>
      </w:r>
      <w:r w:rsidR="007A3479" w:rsidRPr="00751C3A">
        <w:t>.</w:t>
      </w:r>
      <w:r w:rsidR="006E06B0">
        <w:t xml:space="preserve"> te u projekcijama za naredne dvije godine</w:t>
      </w:r>
      <w:r w:rsidR="001A6439">
        <w:t xml:space="preserve"> u iznosu od </w:t>
      </w:r>
      <w:r w:rsidR="006E06B0" w:rsidRPr="006E06B0">
        <w:rPr>
          <w:rFonts w:eastAsia="Times New Roman"/>
          <w:bCs/>
          <w:lang w:eastAsia="hr-HR"/>
        </w:rPr>
        <w:t>4.961.320,00</w:t>
      </w:r>
      <w:r w:rsidR="006E06B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1A6439">
        <w:t>EUR</w:t>
      </w:r>
      <w:r w:rsidR="006E06B0">
        <w:t xml:space="preserve"> godišnje.</w:t>
      </w:r>
      <w:r w:rsidR="007A3479" w:rsidRPr="00751C3A">
        <w:t xml:space="preserve"> </w:t>
      </w:r>
    </w:p>
    <w:p w14:paraId="6A682E1E" w14:textId="77777777" w:rsidR="007A3479" w:rsidRPr="00751C3A" w:rsidRDefault="007A3479" w:rsidP="00B844A4">
      <w:pPr>
        <w:jc w:val="both"/>
        <w:rPr>
          <w:i/>
        </w:rPr>
      </w:pPr>
      <w:r w:rsidRPr="00751C3A">
        <w:rPr>
          <w:i/>
        </w:rPr>
        <w:t>Financijski rashodi (34)</w:t>
      </w:r>
    </w:p>
    <w:p w14:paraId="39BE2810" w14:textId="7F12D631" w:rsidR="007A3479" w:rsidRPr="00751C3A" w:rsidRDefault="007A3479" w:rsidP="00B844A4">
      <w:pPr>
        <w:jc w:val="both"/>
      </w:pPr>
      <w:r w:rsidRPr="00751C3A">
        <w:t>Financijski rashodi odnose se na kamate na primljene kredite te bankarske usluge i zatezne kamate. Ovi rash</w:t>
      </w:r>
      <w:r w:rsidR="00A82717">
        <w:t>odi za 202</w:t>
      </w:r>
      <w:r w:rsidR="006E06B0">
        <w:t>6</w:t>
      </w:r>
      <w:r w:rsidRPr="00751C3A">
        <w:t>. i u projekcijama planiran</w:t>
      </w:r>
      <w:r w:rsidR="00A82717">
        <w:t xml:space="preserve">i su u iznosu od </w:t>
      </w:r>
      <w:r w:rsidR="006E06B0">
        <w:t>113.400</w:t>
      </w:r>
      <w:r w:rsidR="00D62800" w:rsidRPr="00751C3A">
        <w:t>,00 EUR.</w:t>
      </w:r>
    </w:p>
    <w:p w14:paraId="4F13CE9F" w14:textId="77777777" w:rsidR="007A3479" w:rsidRPr="00751C3A" w:rsidRDefault="007A3479" w:rsidP="00B844A4">
      <w:pPr>
        <w:jc w:val="both"/>
        <w:rPr>
          <w:i/>
        </w:rPr>
      </w:pPr>
      <w:r w:rsidRPr="00751C3A">
        <w:rPr>
          <w:i/>
        </w:rPr>
        <w:t>Subvencije (35)</w:t>
      </w:r>
    </w:p>
    <w:p w14:paraId="45EA7750" w14:textId="25427D69" w:rsidR="007A3479" w:rsidRDefault="007A3479" w:rsidP="00B844A4">
      <w:pPr>
        <w:jc w:val="both"/>
      </w:pPr>
      <w:r w:rsidRPr="00751C3A">
        <w:t>U ove rashode planirane su subvencije trgovačkim društvima, poljoprivrednicima i obrtnicima. Za navedene rashode planirani su iznosi za 202</w:t>
      </w:r>
      <w:r w:rsidR="006E06B0">
        <w:t>6</w:t>
      </w:r>
      <w:r w:rsidR="00A82717">
        <w:t>. i u projekcijama za 202</w:t>
      </w:r>
      <w:r w:rsidR="006E06B0">
        <w:t>7</w:t>
      </w:r>
      <w:r w:rsidRPr="00751C3A">
        <w:t>. i 2</w:t>
      </w:r>
      <w:r w:rsidR="00D62800" w:rsidRPr="00751C3A">
        <w:t>02</w:t>
      </w:r>
      <w:r w:rsidR="006E06B0">
        <w:t>8</w:t>
      </w:r>
      <w:r w:rsidR="00D62800" w:rsidRPr="00751C3A">
        <w:t xml:space="preserve">. u iznosu od </w:t>
      </w:r>
      <w:r w:rsidR="006E06B0">
        <w:t>99.500</w:t>
      </w:r>
      <w:r w:rsidR="00D62800" w:rsidRPr="00751C3A">
        <w:t>,00 EUR.</w:t>
      </w:r>
    </w:p>
    <w:p w14:paraId="4EF011D3" w14:textId="77777777" w:rsidR="00A82717" w:rsidRDefault="00A82717" w:rsidP="00B844A4">
      <w:pPr>
        <w:jc w:val="both"/>
        <w:rPr>
          <w:rFonts w:eastAsia="Times New Roman"/>
          <w:bCs/>
          <w:i/>
          <w:lang w:eastAsia="hr-HR"/>
        </w:rPr>
      </w:pPr>
      <w:r w:rsidRPr="00A82717">
        <w:rPr>
          <w:rFonts w:eastAsia="Times New Roman"/>
          <w:bCs/>
          <w:i/>
          <w:lang w:eastAsia="hr-HR"/>
        </w:rPr>
        <w:t>Pomoći dane u inozemstvo i unutar općeg proračuna</w:t>
      </w:r>
      <w:r>
        <w:rPr>
          <w:rFonts w:eastAsia="Times New Roman"/>
          <w:bCs/>
          <w:i/>
          <w:lang w:eastAsia="hr-HR"/>
        </w:rPr>
        <w:t xml:space="preserve"> (36)</w:t>
      </w:r>
    </w:p>
    <w:p w14:paraId="6AE8BCB8" w14:textId="71883D48" w:rsidR="00A82717" w:rsidRPr="00751C3A" w:rsidRDefault="00A82717" w:rsidP="00B844A4">
      <w:pPr>
        <w:jc w:val="both"/>
      </w:pPr>
      <w:r>
        <w:rPr>
          <w:rFonts w:eastAsia="Times New Roman"/>
          <w:bCs/>
          <w:lang w:eastAsia="hr-HR"/>
        </w:rPr>
        <w:t>Ovu skupinu rashoda čine pomoći županijskom proračunu</w:t>
      </w:r>
      <w:r w:rsidR="006E06B0">
        <w:rPr>
          <w:rFonts w:eastAsia="Times New Roman"/>
          <w:bCs/>
          <w:lang w:eastAsia="hr-HR"/>
        </w:rPr>
        <w:t xml:space="preserve"> i drugim razinama</w:t>
      </w:r>
      <w:r>
        <w:rPr>
          <w:rFonts w:eastAsia="Times New Roman"/>
          <w:bCs/>
          <w:lang w:eastAsia="hr-HR"/>
        </w:rPr>
        <w:t xml:space="preserve"> kr</w:t>
      </w:r>
      <w:r w:rsidR="004A255B">
        <w:rPr>
          <w:rFonts w:eastAsia="Times New Roman"/>
          <w:bCs/>
          <w:lang w:eastAsia="hr-HR"/>
        </w:rPr>
        <w:t>o</w:t>
      </w:r>
      <w:r>
        <w:rPr>
          <w:rFonts w:eastAsia="Times New Roman"/>
          <w:bCs/>
          <w:lang w:eastAsia="hr-HR"/>
        </w:rPr>
        <w:t>z sufinanciranje kapitalnih projekata. Za 202</w:t>
      </w:r>
      <w:r w:rsidR="006E06B0">
        <w:rPr>
          <w:rFonts w:eastAsia="Times New Roman"/>
          <w:bCs/>
          <w:lang w:eastAsia="hr-HR"/>
        </w:rPr>
        <w:t>6</w:t>
      </w:r>
      <w:r>
        <w:rPr>
          <w:rFonts w:eastAsia="Times New Roman"/>
          <w:bCs/>
          <w:lang w:eastAsia="hr-HR"/>
        </w:rPr>
        <w:t>. godinu</w:t>
      </w:r>
      <w:r w:rsidR="006E06B0">
        <w:rPr>
          <w:rFonts w:eastAsia="Times New Roman"/>
          <w:bCs/>
          <w:lang w:eastAsia="hr-HR"/>
        </w:rPr>
        <w:t xml:space="preserve"> </w:t>
      </w:r>
      <w:r w:rsidR="006E06B0">
        <w:t>i u projekcijama za 2027</w:t>
      </w:r>
      <w:r w:rsidR="006E06B0" w:rsidRPr="00751C3A">
        <w:t>. i 202</w:t>
      </w:r>
      <w:r w:rsidR="006E06B0">
        <w:t>8</w:t>
      </w:r>
      <w:r w:rsidR="006E06B0" w:rsidRPr="00751C3A">
        <w:t>.</w:t>
      </w:r>
      <w:r>
        <w:rPr>
          <w:rFonts w:eastAsia="Times New Roman"/>
          <w:bCs/>
          <w:lang w:eastAsia="hr-HR"/>
        </w:rPr>
        <w:t xml:space="preserve"> planiran je iznos od </w:t>
      </w:r>
      <w:r w:rsidR="006E06B0" w:rsidRPr="006E06B0">
        <w:rPr>
          <w:rFonts w:eastAsia="Times New Roman"/>
          <w:bCs/>
          <w:lang w:eastAsia="hr-HR"/>
        </w:rPr>
        <w:t>1.555.500,00</w:t>
      </w:r>
      <w:r w:rsidR="006E06B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EUR</w:t>
      </w:r>
      <w:r w:rsidR="006E06B0">
        <w:rPr>
          <w:rFonts w:eastAsia="Times New Roman"/>
          <w:bCs/>
          <w:lang w:eastAsia="hr-HR"/>
        </w:rPr>
        <w:t xml:space="preserve"> godišnje.</w:t>
      </w:r>
      <w:r>
        <w:rPr>
          <w:rFonts w:eastAsia="Times New Roman"/>
          <w:bCs/>
          <w:lang w:eastAsia="hr-HR"/>
        </w:rPr>
        <w:t xml:space="preserve"> </w:t>
      </w:r>
    </w:p>
    <w:p w14:paraId="7D9CBC5A" w14:textId="77777777" w:rsidR="007A3479" w:rsidRPr="00751C3A" w:rsidRDefault="00CE4C5E" w:rsidP="00B844A4">
      <w:pPr>
        <w:jc w:val="both"/>
        <w:rPr>
          <w:i/>
        </w:rPr>
      </w:pPr>
      <w:r w:rsidRPr="00751C3A">
        <w:rPr>
          <w:i/>
        </w:rPr>
        <w:t>Naknade građanima i kućanstvima na temelju osiguranja i druge naknade (37)</w:t>
      </w:r>
    </w:p>
    <w:p w14:paraId="00F2BCEA" w14:textId="25963EB1" w:rsidR="00CE4C5E" w:rsidRPr="00751C3A" w:rsidRDefault="00CE4C5E" w:rsidP="00B844A4">
      <w:pPr>
        <w:jc w:val="both"/>
      </w:pPr>
      <w:r w:rsidRPr="00751C3A">
        <w:t>Ovu skupinu rashoda čine naknade građanima kao što su dodaci umirovljenicima, davanja kroz socijalni program, sufinanciranje boravka djece, sufinanciranje nabavke školskog pribora i dr.</w:t>
      </w:r>
      <w:r w:rsidR="00A82717">
        <w:t xml:space="preserve"> Ovi rashodi planirani su u 202</w:t>
      </w:r>
      <w:r w:rsidR="006E06B0">
        <w:t>6</w:t>
      </w:r>
      <w:r w:rsidRPr="00751C3A">
        <w:t>. te u projekcijama za naredne godi</w:t>
      </w:r>
      <w:r w:rsidR="00D62800" w:rsidRPr="00751C3A">
        <w:t xml:space="preserve">ne u iznosu od </w:t>
      </w:r>
      <w:r w:rsidR="004A255B">
        <w:t>171.000</w:t>
      </w:r>
      <w:r w:rsidR="00D62800" w:rsidRPr="00751C3A">
        <w:t xml:space="preserve">,00 EUR. </w:t>
      </w:r>
    </w:p>
    <w:p w14:paraId="7B4605FE" w14:textId="77777777" w:rsidR="00CE4C5E" w:rsidRPr="00751C3A" w:rsidRDefault="00CE4C5E" w:rsidP="00B844A4">
      <w:pPr>
        <w:jc w:val="both"/>
        <w:rPr>
          <w:i/>
        </w:rPr>
      </w:pPr>
      <w:r w:rsidRPr="00751C3A">
        <w:rPr>
          <w:i/>
        </w:rPr>
        <w:t>Ostali rashodi (38)</w:t>
      </w:r>
    </w:p>
    <w:p w14:paraId="4860C8D3" w14:textId="1F4F3645" w:rsidR="00CE4C5E" w:rsidRPr="00751C3A" w:rsidRDefault="00CE4C5E" w:rsidP="00B844A4">
      <w:pPr>
        <w:jc w:val="both"/>
      </w:pPr>
      <w:r w:rsidRPr="00751C3A">
        <w:t>Ovu skupinu rashoda čine tekuće i kapitalne donacije (</w:t>
      </w:r>
      <w:r w:rsidR="007B0429" w:rsidRPr="00751C3A">
        <w:t xml:space="preserve">po programu javnih potreba, po posebnim odlukama, za redovno financiranje političkih stranaka i dr.) te  tekuća proračunska zaliha. Ovi rashodi </w:t>
      </w:r>
      <w:r w:rsidR="00A82717">
        <w:t>planirani su u proračunu za 202</w:t>
      </w:r>
      <w:r w:rsidR="006E06B0">
        <w:t>6</w:t>
      </w:r>
      <w:r w:rsidR="007B0429" w:rsidRPr="00751C3A">
        <w:t>. i u projekcijama za 202</w:t>
      </w:r>
      <w:r w:rsidR="006E06B0">
        <w:t>7</w:t>
      </w:r>
      <w:r w:rsidR="007B0429" w:rsidRPr="00751C3A">
        <w:t>. i 202</w:t>
      </w:r>
      <w:r w:rsidR="006E06B0">
        <w:t>8</w:t>
      </w:r>
      <w:r w:rsidR="007B0429" w:rsidRPr="00751C3A">
        <w:t xml:space="preserve">. u iznosu od </w:t>
      </w:r>
      <w:r w:rsidR="006E06B0">
        <w:t>777.7</w:t>
      </w:r>
      <w:r w:rsidR="004A255B">
        <w:t>50</w:t>
      </w:r>
      <w:r w:rsidR="007B0429" w:rsidRPr="00751C3A">
        <w:t>,00 EUR.</w:t>
      </w:r>
    </w:p>
    <w:p w14:paraId="44052D14" w14:textId="77777777" w:rsidR="007B0429" w:rsidRPr="00751C3A" w:rsidRDefault="007B0429" w:rsidP="00B844A4">
      <w:pPr>
        <w:jc w:val="both"/>
      </w:pPr>
    </w:p>
    <w:p w14:paraId="159F3DB9" w14:textId="77777777" w:rsidR="007B0429" w:rsidRPr="00751C3A" w:rsidRDefault="007B0429" w:rsidP="00B844A4">
      <w:pPr>
        <w:jc w:val="both"/>
        <w:rPr>
          <w:i/>
        </w:rPr>
      </w:pPr>
      <w:r w:rsidRPr="00751C3A">
        <w:rPr>
          <w:i/>
        </w:rPr>
        <w:t>Rashodi za nabavu nefinancijske imovine</w:t>
      </w:r>
    </w:p>
    <w:p w14:paraId="190F9370" w14:textId="77777777" w:rsidR="006502F1" w:rsidRPr="00751C3A" w:rsidRDefault="007B0429" w:rsidP="00B844A4">
      <w:pPr>
        <w:jc w:val="both"/>
      </w:pPr>
      <w:r w:rsidRPr="00751C3A">
        <w:t>U ovu skupinu rashoda spadaju Rashodi za nabavu neproizvedene dugotrajne imovine (41), Rashodi za nabavu proizvedene dugotrajne imovine (42), Rashodi za nabavu plemenitih metala i ostalih pohranjenih vrijednosti (43), Rashodi za dodatna ulaganja na nefinancijskoj imovini (45)</w:t>
      </w:r>
      <w:r w:rsidR="006502F1" w:rsidRPr="00751C3A">
        <w:t>.</w:t>
      </w:r>
    </w:p>
    <w:p w14:paraId="0DA29F71" w14:textId="20621106" w:rsidR="004A255B" w:rsidRDefault="004A255B" w:rsidP="00B844A4">
      <w:pPr>
        <w:jc w:val="both"/>
        <w:rPr>
          <w:i/>
        </w:rPr>
      </w:pPr>
    </w:p>
    <w:p w14:paraId="6D33E992" w14:textId="1E93986C" w:rsidR="006E06B0" w:rsidRDefault="006E06B0" w:rsidP="00B844A4">
      <w:pPr>
        <w:jc w:val="both"/>
        <w:rPr>
          <w:i/>
        </w:rPr>
      </w:pPr>
    </w:p>
    <w:p w14:paraId="1F4B214E" w14:textId="77777777" w:rsidR="006E06B0" w:rsidRDefault="006E06B0" w:rsidP="00B844A4">
      <w:pPr>
        <w:jc w:val="both"/>
        <w:rPr>
          <w:i/>
        </w:rPr>
      </w:pPr>
    </w:p>
    <w:p w14:paraId="0597F021" w14:textId="4920E29E" w:rsidR="006502F1" w:rsidRPr="00751C3A" w:rsidRDefault="006502F1" w:rsidP="00B844A4">
      <w:pPr>
        <w:jc w:val="both"/>
        <w:rPr>
          <w:i/>
        </w:rPr>
      </w:pPr>
      <w:r w:rsidRPr="00751C3A">
        <w:rPr>
          <w:i/>
        </w:rPr>
        <w:lastRenderedPageBreak/>
        <w:t>Rashodi za nabavu neproizvedene dugotrajne imovine (41)</w:t>
      </w:r>
    </w:p>
    <w:p w14:paraId="30E3DD8F" w14:textId="26E91120" w:rsidR="006502F1" w:rsidRPr="00751C3A" w:rsidRDefault="006502F1" w:rsidP="00B844A4">
      <w:pPr>
        <w:jc w:val="both"/>
      </w:pPr>
      <w:r w:rsidRPr="00751C3A">
        <w:t>Ovu skupinu čine rashodi za nabavu materijalne imovine odnosno zemljišta kroz program upravljanja imovinom te trošak prava izvornosti proizvoda. Plani</w:t>
      </w:r>
      <w:r w:rsidR="002616EF">
        <w:t>rani rashodi u proračunu za 202</w:t>
      </w:r>
      <w:r w:rsidR="006E06B0">
        <w:t>6</w:t>
      </w:r>
      <w:r w:rsidR="002616EF">
        <w:t>.</w:t>
      </w:r>
      <w:r w:rsidR="006E06B0">
        <w:t xml:space="preserve"> te u projekcijama za 2027</w:t>
      </w:r>
      <w:r w:rsidR="006E06B0" w:rsidRPr="00751C3A">
        <w:t>.</w:t>
      </w:r>
      <w:r w:rsidR="006E06B0">
        <w:t xml:space="preserve"> i 2028.</w:t>
      </w:r>
      <w:r w:rsidR="00BB5EEB">
        <w:t xml:space="preserve"> iznose </w:t>
      </w:r>
      <w:r w:rsidR="006E06B0">
        <w:t>118.408</w:t>
      </w:r>
      <w:r w:rsidR="00BB5EEB">
        <w:t>,00 EUR</w:t>
      </w:r>
      <w:r w:rsidR="006E06B0">
        <w:t xml:space="preserve"> godišnje.</w:t>
      </w:r>
      <w:r w:rsidR="00BB5EEB">
        <w:t xml:space="preserve"> </w:t>
      </w:r>
    </w:p>
    <w:p w14:paraId="30B779F0" w14:textId="77777777" w:rsidR="006502F1" w:rsidRPr="00751C3A" w:rsidRDefault="006502F1" w:rsidP="00B844A4">
      <w:pPr>
        <w:jc w:val="both"/>
        <w:rPr>
          <w:i/>
        </w:rPr>
      </w:pPr>
      <w:r w:rsidRPr="00751C3A">
        <w:rPr>
          <w:i/>
        </w:rPr>
        <w:t>Rashodi za nabavu proizvedene dugotrajne imovine (42)</w:t>
      </w:r>
    </w:p>
    <w:p w14:paraId="09CDAE81" w14:textId="274EEAAF" w:rsidR="002D4D64" w:rsidRDefault="006502F1" w:rsidP="00B844A4">
      <w:pPr>
        <w:jc w:val="both"/>
      </w:pPr>
      <w:r w:rsidRPr="00751C3A">
        <w:t xml:space="preserve">Ovu skupinu čine rashodi za građevinske objekte, izgradnju cesta, </w:t>
      </w:r>
      <w:r w:rsidR="002D4D64" w:rsidRPr="00751C3A">
        <w:t>nabavu opreme za prostore i javne površine te za nabavu nematerijalne proizvedene imovine (projektna dokumentacija, prostorno planska dokumentacija, računalni programi , knjižna građa).  Plani</w:t>
      </w:r>
      <w:r w:rsidR="002616EF">
        <w:t>rani rashodi u proračunu za 202</w:t>
      </w:r>
      <w:r w:rsidR="00F16CFB">
        <w:t>6</w:t>
      </w:r>
      <w:r w:rsidR="002616EF">
        <w:t xml:space="preserve">. iznose </w:t>
      </w:r>
      <w:r w:rsidR="00F16CFB" w:rsidRPr="00F16CFB">
        <w:rPr>
          <w:rFonts w:eastAsia="Times New Roman"/>
          <w:bCs/>
          <w:lang w:eastAsia="hr-HR"/>
        </w:rPr>
        <w:t>6.367.915,00</w:t>
      </w:r>
      <w:r w:rsidR="00F16CFB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2616EF">
        <w:t>EUR dok</w:t>
      </w:r>
      <w:r w:rsidR="002D4D64" w:rsidRPr="00751C3A">
        <w:t xml:space="preserve"> </w:t>
      </w:r>
      <w:r w:rsidR="002616EF">
        <w:t>za 202</w:t>
      </w:r>
      <w:r w:rsidR="00F16CFB">
        <w:t>7</w:t>
      </w:r>
      <w:r w:rsidR="002D4D64" w:rsidRPr="00751C3A">
        <w:t>.</w:t>
      </w:r>
      <w:r w:rsidR="00F16CFB">
        <w:t xml:space="preserve"> i 2028</w:t>
      </w:r>
      <w:r w:rsidR="004A255B">
        <w:t>.</w:t>
      </w:r>
      <w:r w:rsidR="002616EF">
        <w:t xml:space="preserve"> iznose </w:t>
      </w:r>
      <w:r w:rsidR="00F16CFB" w:rsidRPr="00F16CFB">
        <w:rPr>
          <w:rFonts w:eastAsia="Times New Roman"/>
          <w:bCs/>
          <w:lang w:eastAsia="hr-HR"/>
        </w:rPr>
        <w:t>4.236.915,00</w:t>
      </w:r>
      <w:r w:rsidR="00F16CFB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2D4D64" w:rsidRPr="002616EF">
        <w:t>EUR</w:t>
      </w:r>
      <w:r w:rsidR="002D4D64" w:rsidRPr="00751C3A">
        <w:t>.</w:t>
      </w:r>
    </w:p>
    <w:p w14:paraId="32AC34D3" w14:textId="77777777" w:rsidR="002616EF" w:rsidRPr="00751C3A" w:rsidRDefault="002616EF" w:rsidP="00B844A4">
      <w:pPr>
        <w:jc w:val="both"/>
      </w:pPr>
    </w:p>
    <w:p w14:paraId="137351B4" w14:textId="77777777" w:rsidR="002D4D64" w:rsidRPr="00751C3A" w:rsidRDefault="002D4D64" w:rsidP="00B844A4">
      <w:pPr>
        <w:jc w:val="both"/>
        <w:rPr>
          <w:i/>
        </w:rPr>
      </w:pPr>
      <w:r w:rsidRPr="00751C3A">
        <w:rPr>
          <w:i/>
        </w:rPr>
        <w:t>Rashodi za nabavu plemenitih metala i ostalih pohranjenih vrijednosti (43),</w:t>
      </w:r>
    </w:p>
    <w:p w14:paraId="4A123211" w14:textId="483D21E7" w:rsidR="002D4D64" w:rsidRPr="00751C3A" w:rsidRDefault="002D4D64" w:rsidP="00B844A4">
      <w:pPr>
        <w:jc w:val="both"/>
      </w:pPr>
      <w:r w:rsidRPr="00751C3A">
        <w:t xml:space="preserve">Navedeni rashodi odnose se na nabavku </w:t>
      </w:r>
      <w:r w:rsidR="0089537C" w:rsidRPr="00751C3A">
        <w:t>djela koja imaju umjetničku vrijednost</w:t>
      </w:r>
      <w:r w:rsidRPr="00751C3A">
        <w:t xml:space="preserve"> za što je </w:t>
      </w:r>
      <w:r w:rsidR="0089537C" w:rsidRPr="00751C3A">
        <w:t>planiran iznos u proračunu za 202</w:t>
      </w:r>
      <w:r w:rsidR="00F16CFB">
        <w:t>6</w:t>
      </w:r>
      <w:r w:rsidR="0089537C" w:rsidRPr="00751C3A">
        <w:t xml:space="preserve">. i projekcijama </w:t>
      </w:r>
      <w:r w:rsidR="002616EF">
        <w:t>za 202</w:t>
      </w:r>
      <w:r w:rsidR="00F16CFB">
        <w:t>7</w:t>
      </w:r>
      <w:r w:rsidR="002616EF">
        <w:t>. i 202</w:t>
      </w:r>
      <w:r w:rsidR="00F16CFB">
        <w:t>8</w:t>
      </w:r>
      <w:r w:rsidR="002616EF">
        <w:t>. u visini od 3.0</w:t>
      </w:r>
      <w:r w:rsidR="0089537C" w:rsidRPr="00751C3A">
        <w:t xml:space="preserve">00,00  EUR. </w:t>
      </w:r>
    </w:p>
    <w:p w14:paraId="209D5CDD" w14:textId="77777777" w:rsidR="002616EF" w:rsidRPr="00751C3A" w:rsidRDefault="002616EF" w:rsidP="00B844A4">
      <w:pPr>
        <w:jc w:val="both"/>
      </w:pPr>
    </w:p>
    <w:p w14:paraId="50005E6E" w14:textId="77777777" w:rsidR="0089537C" w:rsidRPr="00751C3A" w:rsidRDefault="0089537C" w:rsidP="00B844A4">
      <w:pPr>
        <w:jc w:val="both"/>
        <w:rPr>
          <w:i/>
        </w:rPr>
      </w:pPr>
      <w:r w:rsidRPr="00751C3A">
        <w:rPr>
          <w:i/>
        </w:rPr>
        <w:t>Rashodi za dodatna ulaganja na nefinancijskoj imovini (45)</w:t>
      </w:r>
    </w:p>
    <w:p w14:paraId="39337B20" w14:textId="7D7E0B8C" w:rsidR="004A22D8" w:rsidRPr="00751C3A" w:rsidRDefault="0089537C" w:rsidP="00B844A4">
      <w:pPr>
        <w:jc w:val="both"/>
      </w:pPr>
      <w:r w:rsidRPr="00751C3A">
        <w:t>Ove rashode čine ulaganja u postojeću nefinancijsku imovinu, odnosno građevinske objekte, raspoređeno kroz kapitalne projekte u posebnom dijelu</w:t>
      </w:r>
      <w:r w:rsidR="00F16CFB">
        <w:t xml:space="preserve"> proračuna ( popločavanje ulica</w:t>
      </w:r>
      <w:r w:rsidRPr="00751C3A">
        <w:t xml:space="preserve"> , uređenje magazina soli,</w:t>
      </w:r>
      <w:r w:rsidR="00F16CFB">
        <w:t xml:space="preserve"> kule</w:t>
      </w:r>
      <w:r w:rsidRPr="00751C3A">
        <w:t xml:space="preserve"> , Doma kulture, uređenje Outdoor i sportskog centra</w:t>
      </w:r>
      <w:r w:rsidR="00E80855">
        <w:t xml:space="preserve"> i igrališta</w:t>
      </w:r>
      <w:r w:rsidR="004A22D8" w:rsidRPr="00751C3A">
        <w:t>, uređenje groblja</w:t>
      </w:r>
      <w:r w:rsidR="00E80855">
        <w:t>, otkup i raspolaganje imovinom</w:t>
      </w:r>
      <w:r w:rsidR="004A22D8" w:rsidRPr="00751C3A">
        <w:t>). Za ove rashode planira</w:t>
      </w:r>
      <w:r w:rsidR="00261BE4">
        <w:t>ni su iznosi u proračunu za 202</w:t>
      </w:r>
      <w:r w:rsidR="00F16CFB">
        <w:t>6</w:t>
      </w:r>
      <w:r w:rsidR="004A22D8" w:rsidRPr="00751C3A">
        <w:t>.</w:t>
      </w:r>
      <w:r w:rsidR="00261BE4">
        <w:t xml:space="preserve"> iznos od </w:t>
      </w:r>
      <w:r w:rsidR="00A41D21" w:rsidRPr="00A41D21">
        <w:rPr>
          <w:rFonts w:eastAsia="Times New Roman"/>
          <w:bCs/>
          <w:lang w:eastAsia="hr-HR"/>
        </w:rPr>
        <w:t>1.873.200,00</w:t>
      </w:r>
      <w:r w:rsidR="00261BE4">
        <w:t xml:space="preserve"> EUR i projekcijama za 202</w:t>
      </w:r>
      <w:r w:rsidR="00A41D21">
        <w:t>7</w:t>
      </w:r>
      <w:r w:rsidR="004A22D8" w:rsidRPr="00751C3A">
        <w:t>.</w:t>
      </w:r>
      <w:r w:rsidR="00261BE4">
        <w:t xml:space="preserve"> iznos od </w:t>
      </w:r>
      <w:r w:rsidR="00A41D21" w:rsidRPr="00A41D21">
        <w:rPr>
          <w:rFonts w:eastAsia="Times New Roman"/>
          <w:bCs/>
          <w:lang w:eastAsia="hr-HR"/>
        </w:rPr>
        <w:t>4.726.500,00</w:t>
      </w:r>
      <w:r w:rsidR="00261BE4">
        <w:t xml:space="preserve"> EUR</w:t>
      </w:r>
      <w:r w:rsidR="004A22D8" w:rsidRPr="00751C3A">
        <w:t xml:space="preserve"> i 202</w:t>
      </w:r>
      <w:r w:rsidR="00A41D21">
        <w:t>8</w:t>
      </w:r>
      <w:r w:rsidR="004A22D8" w:rsidRPr="00751C3A">
        <w:t>.</w:t>
      </w:r>
      <w:r w:rsidR="00261BE4">
        <w:t xml:space="preserve"> iznos od </w:t>
      </w:r>
      <w:r w:rsidR="00A41D21" w:rsidRPr="00A41D21">
        <w:rPr>
          <w:rFonts w:eastAsia="Times New Roman"/>
          <w:bCs/>
          <w:lang w:eastAsia="hr-HR"/>
        </w:rPr>
        <w:t>2.026.500,00</w:t>
      </w:r>
      <w:r w:rsidR="00A41D21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261BE4">
        <w:t xml:space="preserve">EUR. </w:t>
      </w:r>
      <w:r w:rsidR="004A22D8" w:rsidRPr="00751C3A">
        <w:t xml:space="preserve"> </w:t>
      </w:r>
    </w:p>
    <w:p w14:paraId="07075A50" w14:textId="77777777" w:rsidR="004A22D8" w:rsidRPr="00751C3A" w:rsidRDefault="004A22D8" w:rsidP="00B844A4">
      <w:pPr>
        <w:jc w:val="both"/>
      </w:pPr>
    </w:p>
    <w:p w14:paraId="402060D1" w14:textId="77777777" w:rsidR="004A22D8" w:rsidRPr="00751C3A" w:rsidRDefault="00261BE4" w:rsidP="00B844A4">
      <w:pPr>
        <w:jc w:val="both"/>
        <w:rPr>
          <w:i/>
        </w:rPr>
      </w:pPr>
      <w:r>
        <w:rPr>
          <w:i/>
        </w:rPr>
        <w:t>Izdatci</w:t>
      </w:r>
      <w:r w:rsidR="004A22D8" w:rsidRPr="00751C3A">
        <w:rPr>
          <w:i/>
        </w:rPr>
        <w:t xml:space="preserve"> za financijsku imovinu i otplate zajmova</w:t>
      </w:r>
    </w:p>
    <w:p w14:paraId="352EFCC8" w14:textId="6FA3FD3E" w:rsidR="007B0429" w:rsidRPr="00751C3A" w:rsidRDefault="004A22D8" w:rsidP="00B844A4">
      <w:pPr>
        <w:jc w:val="both"/>
      </w:pPr>
      <w:r w:rsidRPr="00751C3A">
        <w:t>Ove izdatke čine Izda</w:t>
      </w:r>
      <w:r w:rsidR="00261BE4">
        <w:t>t</w:t>
      </w:r>
      <w:r w:rsidRPr="00751C3A">
        <w:t>ci za otplatu glavnice primljenih kredita i zajmova (54). U proračunu za 202</w:t>
      </w:r>
      <w:r w:rsidR="00A41D21">
        <w:t>6</w:t>
      </w:r>
      <w:r w:rsidRPr="00751C3A">
        <w:t>.</w:t>
      </w:r>
      <w:r w:rsidR="00EA2591">
        <w:t xml:space="preserve"> </w:t>
      </w:r>
      <w:r w:rsidR="001D2521">
        <w:t xml:space="preserve">planirana je iznos od 1.854.200,00 od čega se na Grad Pag odnosi </w:t>
      </w:r>
      <w:r w:rsidR="00A41D21">
        <w:rPr>
          <w:rFonts w:eastAsia="Times New Roman"/>
          <w:bCs/>
          <w:lang w:eastAsia="hr-HR"/>
        </w:rPr>
        <w:t>1.844.9</w:t>
      </w:r>
      <w:r w:rsidR="00A41D21" w:rsidRPr="00A41D21">
        <w:rPr>
          <w:rFonts w:eastAsia="Times New Roman"/>
          <w:bCs/>
          <w:lang w:eastAsia="hr-HR"/>
        </w:rPr>
        <w:t>50,00</w:t>
      </w:r>
      <w:r w:rsidR="00A41D21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1D2521">
        <w:t xml:space="preserve">EUR (otplata po primicima za pred financiranje projekata, otplata kredita – vrtić te otplata beskamatnog zajma – državni proračun) dok se na Javnu vatrogasnu postrojbu Pag odnosi </w:t>
      </w:r>
      <w:r w:rsidR="00A41D21">
        <w:t>9.250</w:t>
      </w:r>
      <w:r w:rsidR="001D2521">
        <w:t>,00 EUR (otplata kredita za nabavku vozila).</w:t>
      </w:r>
      <w:r w:rsidR="00261BE4">
        <w:t xml:space="preserve"> </w:t>
      </w:r>
      <w:r w:rsidR="001D2521">
        <w:t>U</w:t>
      </w:r>
      <w:r w:rsidR="00261BE4">
        <w:t xml:space="preserve"> projekcijama za </w:t>
      </w:r>
      <w:r w:rsidR="00A41D21">
        <w:t>2027</w:t>
      </w:r>
      <w:r w:rsidR="00005D98" w:rsidRPr="00751C3A">
        <w:t>.</w:t>
      </w:r>
      <w:r w:rsidR="001D2521">
        <w:t xml:space="preserve"> planiran je iznos od </w:t>
      </w:r>
      <w:r w:rsidR="00A41D21" w:rsidRPr="00A41D21">
        <w:rPr>
          <w:rFonts w:eastAsia="Times New Roman"/>
          <w:bCs/>
          <w:lang w:eastAsia="hr-HR"/>
        </w:rPr>
        <w:t>2.199.250,00</w:t>
      </w:r>
      <w:r w:rsidR="00A41D21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1D2521">
        <w:t xml:space="preserve">EUR (Grad 2.190.000,00 EUR i </w:t>
      </w:r>
      <w:r w:rsidR="00A41D21">
        <w:t>JVP Pag 9.250,00 EUR) te u 2028</w:t>
      </w:r>
      <w:r w:rsidR="001D2521">
        <w:t xml:space="preserve">. godini planiran je iznos od </w:t>
      </w:r>
      <w:r w:rsidR="00A41D21" w:rsidRPr="00A41D21">
        <w:rPr>
          <w:rFonts w:eastAsia="Times New Roman"/>
          <w:bCs/>
          <w:lang w:eastAsia="hr-HR"/>
        </w:rPr>
        <w:t>599.250,00</w:t>
      </w:r>
      <w:r w:rsidR="00A41D21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1D2521">
        <w:t xml:space="preserve">EUR (Grad 590.000,00 EUR i JVP Pag </w:t>
      </w:r>
      <w:r w:rsidR="00A41D21">
        <w:t>9.250</w:t>
      </w:r>
      <w:r w:rsidR="001D2521">
        <w:t>,00 EUR)</w:t>
      </w:r>
    </w:p>
    <w:p w14:paraId="66A449BD" w14:textId="77777777" w:rsidR="00005D98" w:rsidRPr="00751C3A" w:rsidRDefault="00005D98" w:rsidP="00B844A4">
      <w:pPr>
        <w:jc w:val="both"/>
      </w:pPr>
    </w:p>
    <w:p w14:paraId="065083EB" w14:textId="5C9856CB" w:rsidR="00B844A4" w:rsidRDefault="00B844A4" w:rsidP="001245E4">
      <w:pPr>
        <w:jc w:val="both"/>
        <w:rPr>
          <w:i/>
        </w:rPr>
      </w:pPr>
    </w:p>
    <w:p w14:paraId="5B469AD0" w14:textId="2E5B4ACD" w:rsidR="00A41D21" w:rsidRDefault="00A41D21" w:rsidP="001245E4">
      <w:pPr>
        <w:jc w:val="both"/>
        <w:rPr>
          <w:i/>
        </w:rPr>
      </w:pPr>
    </w:p>
    <w:p w14:paraId="7F516506" w14:textId="77777777" w:rsidR="00A41D21" w:rsidRPr="00751C3A" w:rsidRDefault="00A41D21" w:rsidP="001245E4">
      <w:pPr>
        <w:jc w:val="both"/>
      </w:pPr>
    </w:p>
    <w:p w14:paraId="59E1843E" w14:textId="77777777" w:rsidR="00301454" w:rsidRPr="00751C3A" w:rsidRDefault="00301454" w:rsidP="001245E4">
      <w:pPr>
        <w:jc w:val="both"/>
      </w:pPr>
      <w:r w:rsidRPr="00751C3A">
        <w:lastRenderedPageBreak/>
        <w:t>OBRAZLOŽENJE POSEBNOG DIJELA PRORAČUNA</w:t>
      </w:r>
    </w:p>
    <w:p w14:paraId="57348E00" w14:textId="7DE84574" w:rsidR="00EB33B5" w:rsidRPr="00170AE2" w:rsidRDefault="00170AE2" w:rsidP="00170AE2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</w:t>
      </w:r>
      <w:r w:rsidRPr="00170AE2">
        <w:rPr>
          <w:rFonts w:eastAsia="Times New Roman"/>
          <w:lang w:eastAsia="hr-HR"/>
        </w:rPr>
        <w:t>osebnom dijelu</w:t>
      </w:r>
      <w:r w:rsidRPr="007A3803">
        <w:rPr>
          <w:rFonts w:eastAsia="Times New Roman"/>
          <w:lang w:eastAsia="hr-HR"/>
        </w:rPr>
        <w:t xml:space="preserve">  proračuna su rashodi i izdaci raspoređen</w:t>
      </w:r>
      <w:r>
        <w:rPr>
          <w:rFonts w:eastAsia="Times New Roman"/>
          <w:lang w:eastAsia="hr-HR"/>
        </w:rPr>
        <w:t xml:space="preserve">i po nosiocima i korisnicima </w:t>
      </w:r>
      <w:r w:rsidRPr="007A3803">
        <w:rPr>
          <w:rFonts w:eastAsia="Times New Roman"/>
          <w:lang w:eastAsia="hr-HR"/>
        </w:rPr>
        <w:t>prema utvrđenim programima, aktivnostima i projektima</w:t>
      </w:r>
      <w:r w:rsidR="00C41863">
        <w:rPr>
          <w:rFonts w:eastAsia="Times New Roman"/>
          <w:lang w:eastAsia="hr-HR"/>
        </w:rPr>
        <w:t xml:space="preserve"> </w:t>
      </w:r>
      <w:r w:rsidR="00C41863" w:rsidRPr="00751C3A">
        <w:t>u okviru razdjela/glava definiranih u skladu s organizacijskom klasifik</w:t>
      </w:r>
      <w:r w:rsidR="00C41863">
        <w:t>acijom Proračuna</w:t>
      </w:r>
      <w:r w:rsidRPr="007A3803">
        <w:rPr>
          <w:rFonts w:eastAsia="Times New Roman"/>
          <w:lang w:eastAsia="hr-HR"/>
        </w:rPr>
        <w:t>, a sve prema izvorima prihoda iz kojih se financiraju.</w:t>
      </w:r>
      <w:r>
        <w:rPr>
          <w:rFonts w:eastAsia="Times New Roman"/>
          <w:lang w:eastAsia="hr-HR"/>
        </w:rPr>
        <w:t xml:space="preserve"> Dio koji se odnosi na proračunske korisnike </w:t>
      </w:r>
      <w:r w:rsidR="00EB33B5" w:rsidRPr="00A860C5">
        <w:t>temelji se na obrazloženjima financijskih</w:t>
      </w:r>
      <w:r w:rsidR="00C41863">
        <w:t xml:space="preserve"> planova proračunskih korisnika.</w:t>
      </w:r>
      <w:r w:rsidR="00EB33B5" w:rsidRPr="00A860C5">
        <w:t xml:space="preserve"> </w:t>
      </w:r>
      <w:r w:rsidR="00C41863">
        <w:t>Obrazloženje</w:t>
      </w:r>
      <w:r w:rsidR="00EB33B5" w:rsidRPr="00A860C5">
        <w:t xml:space="preserve"> </w:t>
      </w:r>
      <w:r w:rsidR="00C41863">
        <w:t>sadrži</w:t>
      </w:r>
      <w:r w:rsidR="00EB33B5" w:rsidRPr="00A860C5">
        <w:t xml:space="preserve"> ob</w:t>
      </w:r>
      <w:r w:rsidR="00C41863">
        <w:t>razloženja programa koje se daju</w:t>
      </w:r>
      <w:r w:rsidR="00EB33B5" w:rsidRPr="00A860C5">
        <w:t xml:space="preserve"> kroz obrazloženje aktivnosti i projekata zajedno s ciljevima i pokazateljima uspješnosti iz akata strateškog planiranja</w:t>
      </w:r>
      <w:r w:rsidR="00EB33B5">
        <w:t>.</w:t>
      </w:r>
    </w:p>
    <w:p w14:paraId="3B9B2F5E" w14:textId="2AC39B06" w:rsidR="00301454" w:rsidRDefault="00301454" w:rsidP="00301454">
      <w:pPr>
        <w:tabs>
          <w:tab w:val="left" w:pos="567"/>
          <w:tab w:val="decimal" w:pos="7655"/>
        </w:tabs>
        <w:jc w:val="both"/>
        <w:rPr>
          <w:rFonts w:ascii="Calibri" w:hAnsi="Calibri"/>
          <w:sz w:val="22"/>
          <w:szCs w:val="22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4395"/>
        <w:gridCol w:w="266"/>
        <w:gridCol w:w="1711"/>
        <w:gridCol w:w="1132"/>
        <w:gridCol w:w="1113"/>
        <w:gridCol w:w="1152"/>
      </w:tblGrid>
      <w:tr w:rsidR="00D7480E" w:rsidRPr="00D7480E" w14:paraId="2DF328D5" w14:textId="77777777" w:rsidTr="00D7480E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161E85D4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2C00DE2C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385814C1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2620F0A1" w14:textId="0B8D6C42" w:rsidR="00D7480E" w:rsidRPr="00D7480E" w:rsidRDefault="00C41863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58BC1306" w14:textId="59383495" w:rsidR="00D7480E" w:rsidRPr="00D7480E" w:rsidRDefault="00C41863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4232B268" w14:textId="0E1759D6" w:rsidR="00D7480E" w:rsidRPr="00D7480E" w:rsidRDefault="00C41863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2028</w:t>
            </w:r>
          </w:p>
        </w:tc>
      </w:tr>
      <w:tr w:rsidR="00C41863" w:rsidRPr="00D7480E" w14:paraId="7CBD317B" w14:textId="77777777" w:rsidTr="0004051D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  <w:hideMark/>
          </w:tcPr>
          <w:p w14:paraId="4CAACC15" w14:textId="77777777" w:rsidR="00C41863" w:rsidRPr="00D7480E" w:rsidRDefault="00C41863" w:rsidP="00C41863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Razdjel 001 PREDSTAVNIČKA I IZVRŠNA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4F641FF7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4F2B1481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42BE8788" w14:textId="7E297A80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2262511D" w14:textId="6D330F08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30CE7DCF" w14:textId="2B936AE2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</w:tr>
      <w:tr w:rsidR="00C41863" w:rsidRPr="00D7480E" w14:paraId="1D460C4E" w14:textId="77777777" w:rsidTr="00B81B52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120403C" w14:textId="77777777" w:rsidR="00C41863" w:rsidRPr="00D7480E" w:rsidRDefault="00C41863" w:rsidP="00C41863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00101 PREDSTAVNIČKA I IZVRŠNA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D4CFDB6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DAE06A3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8416026" w14:textId="18FBB876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F126FD7" w14:textId="348CCF3F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159635F" w14:textId="65CDC636" w:rsidR="00C41863" w:rsidRPr="00D7480E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792.200,00</w:t>
            </w:r>
          </w:p>
        </w:tc>
      </w:tr>
    </w:tbl>
    <w:p w14:paraId="570537FC" w14:textId="77777777" w:rsidR="00EB33B5" w:rsidRDefault="00EB33B5" w:rsidP="00301454">
      <w:pPr>
        <w:tabs>
          <w:tab w:val="left" w:pos="567"/>
          <w:tab w:val="decimal" w:pos="7655"/>
        </w:tabs>
        <w:jc w:val="both"/>
        <w:rPr>
          <w:rFonts w:ascii="Calibri" w:hAnsi="Calibri"/>
          <w:sz w:val="22"/>
          <w:szCs w:val="22"/>
        </w:rPr>
      </w:pPr>
    </w:p>
    <w:tbl>
      <w:tblPr>
        <w:tblW w:w="9767" w:type="dxa"/>
        <w:tblLook w:val="04A0" w:firstRow="1" w:lastRow="0" w:firstColumn="1" w:lastColumn="0" w:noHBand="0" w:noVBand="1"/>
      </w:tblPr>
      <w:tblGrid>
        <w:gridCol w:w="4395"/>
        <w:gridCol w:w="266"/>
        <w:gridCol w:w="1711"/>
        <w:gridCol w:w="1132"/>
        <w:gridCol w:w="1112"/>
        <w:gridCol w:w="1151"/>
      </w:tblGrid>
      <w:tr w:rsidR="00C41863" w:rsidRPr="00D7480E" w14:paraId="20BEAD2D" w14:textId="77777777" w:rsidTr="00B64F9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EB34EC9" w14:textId="77777777" w:rsidR="00C41863" w:rsidRPr="00D7480E" w:rsidRDefault="00C41863" w:rsidP="00C4186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1100 DONOŠENJE AKATA I MJERA IZ DJELOKRUGA PREDSTAVNIČKOG I IZVRŠNOG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FE282EF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FC5E5DC" w14:textId="77777777" w:rsidR="00C41863" w:rsidRPr="00D7480E" w:rsidRDefault="00C41863" w:rsidP="00C41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6101D5D" w14:textId="3154D93C" w:rsidR="00C41863" w:rsidRPr="00C41863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4186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305.300,00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34336C1" w14:textId="7270AD52" w:rsidR="00C41863" w:rsidRPr="00C41863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4186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305.300,00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49845E8" w14:textId="50BCC3C7" w:rsidR="00C41863" w:rsidRPr="00C41863" w:rsidRDefault="00C41863" w:rsidP="00C4186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4186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305.300,00</w:t>
            </w:r>
          </w:p>
        </w:tc>
      </w:tr>
      <w:tr w:rsidR="00784865" w:rsidRPr="00D7480E" w14:paraId="6269FB5D" w14:textId="77777777" w:rsidTr="006B4D18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E06644C" w14:textId="77777777" w:rsidR="00784865" w:rsidRPr="00D7480E" w:rsidRDefault="00784865" w:rsidP="00784865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A110001 Predstavničko i izvršna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642A65A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5F4B65F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8050EAA" w14:textId="788D22C9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137.800,00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510536B" w14:textId="17A7ED01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E5D0A89" w14:textId="3A46EC98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137.800,00</w:t>
            </w:r>
          </w:p>
        </w:tc>
      </w:tr>
      <w:tr w:rsidR="00784865" w:rsidRPr="00D7480E" w14:paraId="1B49B98E" w14:textId="77777777" w:rsidTr="00783320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DD1793" w14:textId="77777777" w:rsidR="00784865" w:rsidRPr="00D7480E" w:rsidRDefault="00784865" w:rsidP="00784865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A110002 Protokolarni izdaci i obilježavanje obljetnica i blagdana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ADE0E63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3DAB757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8B87A78" w14:textId="4B62BEE5" w:rsidR="00784865" w:rsidRPr="00784865" w:rsidRDefault="004B2C86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  <w:r w:rsidR="00784865"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3F1CCB" w14:textId="15A846D5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840715C" w14:textId="124D6C18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75.300,00</w:t>
            </w:r>
          </w:p>
        </w:tc>
      </w:tr>
      <w:tr w:rsidR="00784865" w:rsidRPr="00D7480E" w14:paraId="1318E9BD" w14:textId="77777777" w:rsidTr="000F7B12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6603BF9" w14:textId="77777777" w:rsidR="00784865" w:rsidRPr="00D7480E" w:rsidRDefault="00784865" w:rsidP="00784865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A110003 Međunarodna i međugradska suradnja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4E9B2EB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81DE20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5335C06" w14:textId="3E3BDCFE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5E2953" w14:textId="3A4B2FA7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641225" w14:textId="6D708452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784865" w:rsidRPr="00D7480E" w14:paraId="164B0A01" w14:textId="77777777" w:rsidTr="004A765D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DCBB866" w14:textId="77777777" w:rsidR="00784865" w:rsidRPr="00D7480E" w:rsidRDefault="00784865" w:rsidP="00784865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A110004 Donacije, sponzorstva i doznake po posebnim odlukama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B6DF87F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4E2F900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775F2D" w14:textId="0611427A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88B0395" w14:textId="4DBEC73D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8155AD8" w14:textId="129E74BC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</w:tr>
      <w:tr w:rsidR="00784865" w:rsidRPr="00D7480E" w14:paraId="21CA815C" w14:textId="77777777" w:rsidTr="0011160F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7CB93AA" w14:textId="77777777" w:rsidR="00784865" w:rsidRPr="00D7480E" w:rsidRDefault="00784865" w:rsidP="00784865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A110005 Proračunska pričuva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7ECCFA7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2E70CEB" w14:textId="77777777" w:rsidR="00784865" w:rsidRPr="00D7480E" w:rsidRDefault="00784865" w:rsidP="00784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4E73F47" w14:textId="562EFCE7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6737190" w14:textId="692F768C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5D89B4C" w14:textId="29AC87C6" w:rsidR="00784865" w:rsidRPr="00784865" w:rsidRDefault="00784865" w:rsidP="00784865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</w:tr>
      <w:tr w:rsidR="00D7480E" w:rsidRPr="00D7480E" w14:paraId="66F8EE75" w14:textId="77777777" w:rsidTr="00D7480E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0D17C96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A110006 Savjet mladih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FA5825A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B8673E9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0199AD7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1562B36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1C468E6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D7480E" w:rsidRPr="00D7480E" w14:paraId="61E27466" w14:textId="77777777" w:rsidTr="00D7480E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6E0F377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A110007 Naknade građanima - prigodni pokloni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EE921D4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0C396C3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A7B7B07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E2B7A42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4FE1117" w14:textId="77777777" w:rsidR="00D7480E" w:rsidRPr="00784865" w:rsidRDefault="00D7480E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4B2C86" w:rsidRPr="00D7480E" w14:paraId="2973CF1E" w14:textId="77777777" w:rsidTr="00D7480E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033A7EBB" w14:textId="70F08032" w:rsidR="004B2C86" w:rsidRPr="00D7480E" w:rsidRDefault="004B2C86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A11000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</w:t>
            </w: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Trgovačka društva - osnivanje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761C84A7" w14:textId="77777777" w:rsidR="004B2C86" w:rsidRPr="00D7480E" w:rsidRDefault="004B2C86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F19E7C4" w14:textId="77777777" w:rsidR="004B2C86" w:rsidRPr="00D7480E" w:rsidRDefault="004B2C86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5FDD26BD" w14:textId="4A7016A8" w:rsidR="004B2C86" w:rsidRPr="00784865" w:rsidRDefault="004B2C86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42240703" w14:textId="29BF713F" w:rsidR="004B2C86" w:rsidRPr="00784865" w:rsidRDefault="004B2C86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7B2DDC92" w14:textId="492951A0" w:rsidR="004B2C86" w:rsidRPr="00784865" w:rsidRDefault="004B2C86" w:rsidP="00D7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24406521" w14:textId="50AED2E2" w:rsidR="00E55858" w:rsidRPr="00751C3A" w:rsidRDefault="003B2352" w:rsidP="003921E3">
      <w:pPr>
        <w:spacing w:after="0"/>
        <w:jc w:val="both"/>
        <w:rPr>
          <w:color w:val="000000" w:themeColor="text1"/>
        </w:rPr>
      </w:pPr>
      <w:r w:rsidRPr="00751C3A">
        <w:rPr>
          <w:color w:val="000000" w:themeColor="text1"/>
          <w:u w:val="single"/>
        </w:rPr>
        <w:t>Cilj :</w:t>
      </w:r>
      <w:r w:rsidRPr="00751C3A">
        <w:rPr>
          <w:color w:val="000000" w:themeColor="text1"/>
        </w:rPr>
        <w:t xml:space="preserve"> redovni rad i obavljanje utvrđenih poslova gradonačelnika i gradskog vijeća, </w:t>
      </w:r>
      <w:r w:rsidR="00E55858" w:rsidRPr="00751C3A">
        <w:rPr>
          <w:color w:val="000000" w:themeColor="text1"/>
        </w:rPr>
        <w:t>osiguranje uvjeta za izvedbu protokolarnih događanja, priredbi i manifestacija, cjelovito obavještavanje javnosti o ostvarivanju postavljenih prioriteta.</w:t>
      </w:r>
      <w:r w:rsidRPr="00751C3A">
        <w:rPr>
          <w:color w:val="000000" w:themeColor="text1"/>
        </w:rPr>
        <w:t xml:space="preserve"> </w:t>
      </w:r>
      <w:r w:rsidR="00E55858" w:rsidRPr="00751C3A">
        <w:rPr>
          <w:color w:val="000000" w:themeColor="text1"/>
        </w:rPr>
        <w:t xml:space="preserve">Programom se kroz redovne aktivnosti osiguravaju sredstva za funkcioniranje Gradskog vijeća, Gradonačelnika i radnih tijela (naknade za rad predstavničkih i izvršnih tijela, reprezentacija, protokol, intelektualne i osobne usluge, izbori, nagrada Grada, sufinanciranje i pokroviteljstva nad raznim manifestacijama.) i financiranje </w:t>
      </w:r>
      <w:r w:rsidR="004B2C86">
        <w:rPr>
          <w:color w:val="000000" w:themeColor="text1"/>
        </w:rPr>
        <w:t xml:space="preserve">po posebnim odlukama gradonačelnika te osnivanje trgovačkog društva, </w:t>
      </w:r>
      <w:r w:rsidR="00E55858" w:rsidRPr="00751C3A">
        <w:rPr>
          <w:color w:val="000000" w:themeColor="text1"/>
        </w:rPr>
        <w:t>.</w:t>
      </w:r>
    </w:p>
    <w:p w14:paraId="557459C3" w14:textId="77777777" w:rsidR="00301454" w:rsidRDefault="003B2352" w:rsidP="003921E3">
      <w:pPr>
        <w:spacing w:after="0"/>
        <w:jc w:val="both"/>
      </w:pPr>
      <w:r w:rsidRPr="00751C3A">
        <w:rPr>
          <w:color w:val="000000" w:themeColor="text1"/>
        </w:rPr>
        <w:t xml:space="preserve">Pokazatelji: </w:t>
      </w:r>
      <w:r w:rsidRPr="00751C3A">
        <w:t>provedene protokolarne aktivnosti, transparentno funkci</w:t>
      </w:r>
      <w:r w:rsidR="00751C3A">
        <w:t>o</w:t>
      </w:r>
      <w:r w:rsidRPr="00751C3A">
        <w:t>niranje gradske uprave i informiranje javnosti.</w:t>
      </w:r>
    </w:p>
    <w:tbl>
      <w:tblPr>
        <w:tblW w:w="9735" w:type="dxa"/>
        <w:tblLook w:val="04A0" w:firstRow="1" w:lastRow="0" w:firstColumn="1" w:lastColumn="0" w:noHBand="0" w:noVBand="1"/>
      </w:tblPr>
      <w:tblGrid>
        <w:gridCol w:w="5812"/>
        <w:gridCol w:w="266"/>
        <w:gridCol w:w="272"/>
        <w:gridCol w:w="1128"/>
        <w:gridCol w:w="1109"/>
        <w:gridCol w:w="1148"/>
      </w:tblGrid>
      <w:tr w:rsidR="00D7480E" w:rsidRPr="00D7480E" w14:paraId="68F72653" w14:textId="77777777" w:rsidTr="00D7480E">
        <w:trPr>
          <w:trHeight w:val="25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EFF932A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DBDA0C8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ECDC90F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7A72B53" w14:textId="7122CBCA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335F80D" w14:textId="5BE8873D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879EFF4" w14:textId="47EC094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D7480E" w:rsidRPr="00D7480E" w14:paraId="343C4614" w14:textId="77777777" w:rsidTr="00D7480E">
        <w:trPr>
          <w:trHeight w:val="25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F718C1F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1101 RAZVOJ CIVILNOG DRUŠTVA - RAD POLITIČKIH STRANAKA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2195E8D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24D002C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F0C4D42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5FCD371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F485046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D7480E" w:rsidRPr="00D7480E" w14:paraId="5093B091" w14:textId="77777777" w:rsidTr="00D7480E">
        <w:trPr>
          <w:trHeight w:val="25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7592D09" w14:textId="77777777" w:rsidR="00D7480E" w:rsidRPr="00D7480E" w:rsidRDefault="00D7480E" w:rsidP="00D7480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A110101 Rad političkih stranaka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321557D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0D95E20" w14:textId="77777777" w:rsidR="00D7480E" w:rsidRPr="00D7480E" w:rsidRDefault="00D7480E" w:rsidP="00D7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D748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DFCB092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20E8B56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30421DC" w14:textId="77777777" w:rsidR="00D7480E" w:rsidRPr="00D7480E" w:rsidRDefault="00D7480E" w:rsidP="00D7480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7480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</w:tbl>
    <w:p w14:paraId="15CA99B5" w14:textId="77777777" w:rsidR="003B2352" w:rsidRPr="00751C3A" w:rsidRDefault="003B2352" w:rsidP="003B2352">
      <w:pPr>
        <w:spacing w:after="0"/>
        <w:jc w:val="both"/>
      </w:pPr>
      <w:r w:rsidRPr="00751C3A">
        <w:t>Cilj: omogućiti redovne aktivnosti političkih stranaka i rad u gradskom vijeću.</w:t>
      </w:r>
    </w:p>
    <w:p w14:paraId="18776862" w14:textId="77777777" w:rsidR="000C648C" w:rsidRDefault="003B2352" w:rsidP="001F7A5F">
      <w:pPr>
        <w:spacing w:after="0"/>
        <w:jc w:val="both"/>
        <w:rPr>
          <w:sz w:val="22"/>
          <w:szCs w:val="22"/>
        </w:rPr>
      </w:pPr>
      <w:r w:rsidRPr="00751C3A">
        <w:t>Pokazatelji: Iznos financiranja po vijećniku</w:t>
      </w:r>
      <w:r w:rsidRPr="00751C3A">
        <w:rPr>
          <w:sz w:val="22"/>
          <w:szCs w:val="22"/>
        </w:rPr>
        <w:t xml:space="preserve"> </w:t>
      </w:r>
    </w:p>
    <w:p w14:paraId="65CBE15F" w14:textId="77777777" w:rsidR="003921E3" w:rsidRDefault="003921E3" w:rsidP="001F7A5F">
      <w:pPr>
        <w:spacing w:after="0"/>
        <w:jc w:val="both"/>
        <w:rPr>
          <w:sz w:val="22"/>
          <w:szCs w:val="22"/>
        </w:rPr>
      </w:pPr>
    </w:p>
    <w:p w14:paraId="4B20CCF6" w14:textId="77777777" w:rsidR="003921E3" w:rsidRDefault="003921E3" w:rsidP="001F7A5F">
      <w:pPr>
        <w:spacing w:after="0"/>
        <w:jc w:val="both"/>
        <w:rPr>
          <w:sz w:val="22"/>
          <w:szCs w:val="22"/>
        </w:rPr>
      </w:pPr>
    </w:p>
    <w:p w14:paraId="44B3098A" w14:textId="77777777" w:rsidR="003921E3" w:rsidRDefault="003921E3" w:rsidP="001F7A5F">
      <w:pPr>
        <w:spacing w:after="0"/>
        <w:jc w:val="both"/>
        <w:rPr>
          <w:sz w:val="22"/>
          <w:szCs w:val="22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4395"/>
        <w:gridCol w:w="266"/>
        <w:gridCol w:w="1714"/>
        <w:gridCol w:w="1130"/>
        <w:gridCol w:w="1111"/>
        <w:gridCol w:w="1150"/>
      </w:tblGrid>
      <w:tr w:rsidR="006F6049" w:rsidRPr="006F6049" w14:paraId="4DE816B1" w14:textId="77777777" w:rsidTr="006F604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BC39E10" w14:textId="77777777" w:rsidR="006F6049" w:rsidRPr="006F6049" w:rsidRDefault="006F6049" w:rsidP="006F604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A93AC9E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E521D4F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F3B5FD3" w14:textId="62D476C6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3D812DF" w14:textId="484C0299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358BA19" w14:textId="27A548B3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976BBE" w:rsidRPr="006F6049" w14:paraId="6C7D23AB" w14:textId="77777777" w:rsidTr="0005585D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A3F81EC" w14:textId="77777777" w:rsidR="00976BBE" w:rsidRPr="006F6049" w:rsidRDefault="00976BBE" w:rsidP="00976BB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1102 MJESNA SAMOUPRAVA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16804EB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E91581B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8EDC824" w14:textId="4718DC25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124.900,00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5240B98" w14:textId="7CFCE597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124.900,00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2DDA7D9" w14:textId="7544E739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124.900,00</w:t>
            </w:r>
          </w:p>
        </w:tc>
      </w:tr>
      <w:tr w:rsidR="006F6049" w:rsidRPr="006F6049" w14:paraId="3ED3B3BD" w14:textId="77777777" w:rsidTr="006F604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7CE5048" w14:textId="77777777" w:rsidR="006F6049" w:rsidRPr="006F6049" w:rsidRDefault="006F6049" w:rsidP="006F604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A110201 Djelokrug mjesne samouprave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EAA90E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5646231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717BF0E" w14:textId="77777777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50939FB" w14:textId="77777777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99.900,00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E020702" w14:textId="77777777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99.900,00</w:t>
            </w:r>
          </w:p>
        </w:tc>
      </w:tr>
      <w:tr w:rsidR="00976BBE" w:rsidRPr="006F6049" w14:paraId="757C4060" w14:textId="77777777" w:rsidTr="006F604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161AB1C1" w14:textId="1003C549" w:rsidR="00976BBE" w:rsidRPr="006F6049" w:rsidRDefault="00976BBE" w:rsidP="006F604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A11020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 Provedba izbora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92201E0" w14:textId="77777777" w:rsidR="00976BBE" w:rsidRPr="006F6049" w:rsidRDefault="00976BBE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8AEA0CD" w14:textId="77777777" w:rsidR="00976BBE" w:rsidRPr="006F6049" w:rsidRDefault="00976BBE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6E5BBBAD" w14:textId="3D695B5F" w:rsidR="00976BBE" w:rsidRPr="006F6049" w:rsidRDefault="00976BBE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503BC891" w14:textId="23CF9496" w:rsidR="00976BBE" w:rsidRPr="006F6049" w:rsidRDefault="00976BBE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208A5219" w14:textId="42D0D7E7" w:rsidR="00976BBE" w:rsidRPr="006F6049" w:rsidRDefault="00976BBE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</w:tbl>
    <w:p w14:paraId="0158EAA6" w14:textId="77777777" w:rsidR="006F6049" w:rsidRDefault="006F6049" w:rsidP="001F7A5F">
      <w:pPr>
        <w:spacing w:after="0"/>
        <w:jc w:val="both"/>
        <w:rPr>
          <w:sz w:val="22"/>
          <w:szCs w:val="22"/>
        </w:rPr>
      </w:pPr>
    </w:p>
    <w:p w14:paraId="5499B250" w14:textId="77777777" w:rsidR="006F6049" w:rsidRDefault="006F6049" w:rsidP="001F7A5F">
      <w:pPr>
        <w:spacing w:after="0"/>
        <w:jc w:val="both"/>
        <w:rPr>
          <w:sz w:val="22"/>
          <w:szCs w:val="22"/>
        </w:rPr>
      </w:pPr>
    </w:p>
    <w:p w14:paraId="0BDAF720" w14:textId="77777777" w:rsidR="00001C6D" w:rsidRPr="00751C3A" w:rsidRDefault="001F7A5F" w:rsidP="001F7A5F">
      <w:pPr>
        <w:spacing w:after="0"/>
        <w:jc w:val="both"/>
      </w:pPr>
      <w:r w:rsidRPr="00751C3A">
        <w:t>Cilj: redovno zadovoljenje potreba mjesnih odbora; podmirenje troškova mjesne samouprave, povećanje zadovoljstva stanovništva</w:t>
      </w:r>
    </w:p>
    <w:p w14:paraId="6A474916" w14:textId="77777777" w:rsidR="00F441DD" w:rsidRDefault="001F7A5F" w:rsidP="001F7A5F">
      <w:pPr>
        <w:spacing w:after="0"/>
        <w:jc w:val="both"/>
      </w:pPr>
      <w:r w:rsidRPr="00751C3A">
        <w:t>Po</w:t>
      </w:r>
      <w:r w:rsidR="00E55D07">
        <w:t>kazatelji: visina troškova mjes</w:t>
      </w:r>
      <w:r w:rsidRPr="00751C3A">
        <w:t>ne samouprave</w:t>
      </w:r>
    </w:p>
    <w:tbl>
      <w:tblPr>
        <w:tblW w:w="9911" w:type="dxa"/>
        <w:tblLook w:val="04A0" w:firstRow="1" w:lastRow="0" w:firstColumn="1" w:lastColumn="0" w:noHBand="0" w:noVBand="1"/>
      </w:tblPr>
      <w:tblGrid>
        <w:gridCol w:w="4536"/>
        <w:gridCol w:w="266"/>
        <w:gridCol w:w="1712"/>
        <w:gridCol w:w="1132"/>
        <w:gridCol w:w="1113"/>
        <w:gridCol w:w="1152"/>
      </w:tblGrid>
      <w:tr w:rsidR="006F6049" w:rsidRPr="006F6049" w14:paraId="3FB16045" w14:textId="77777777" w:rsidTr="006F6049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D36C7D0" w14:textId="77777777" w:rsidR="006F6049" w:rsidRPr="006F6049" w:rsidRDefault="006F6049" w:rsidP="006F604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99C3AC0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9869676" w14:textId="77777777" w:rsidR="006F6049" w:rsidRPr="006F6049" w:rsidRDefault="006F6049" w:rsidP="006F6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B472E57" w14:textId="132800C6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4C9BB04" w14:textId="58A38C31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A184238" w14:textId="3AABB38B" w:rsidR="006F6049" w:rsidRPr="006F6049" w:rsidRDefault="006F6049" w:rsidP="006F604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976BBE" w:rsidRPr="006F6049" w14:paraId="5E9E7D46" w14:textId="77777777" w:rsidTr="001E1B9D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4AD626A" w14:textId="77777777" w:rsidR="00976BBE" w:rsidRPr="006F6049" w:rsidRDefault="00976BBE" w:rsidP="00976BB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1103 MANIFESTACIJE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AA55778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4198411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1EC4230" w14:textId="1CD57490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FB4063F" w14:textId="53707589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860A4C8" w14:textId="428D675B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354.000,00</w:t>
            </w:r>
          </w:p>
        </w:tc>
      </w:tr>
      <w:tr w:rsidR="00976BBE" w:rsidRPr="006F6049" w14:paraId="33955EAD" w14:textId="77777777" w:rsidTr="00FF1EC9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138C07F" w14:textId="77777777" w:rsidR="00976BBE" w:rsidRPr="006F6049" w:rsidRDefault="00976BBE" w:rsidP="00976BB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A110301 Sufinanciranje manifestacija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93D8859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A4B1B9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42E118" w14:textId="0D7E4535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C23C39" w14:textId="4C079046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F8D1CC5" w14:textId="1EB38B26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206.000,00</w:t>
            </w:r>
          </w:p>
        </w:tc>
      </w:tr>
      <w:tr w:rsidR="00976BBE" w:rsidRPr="006F6049" w14:paraId="0BAB71D9" w14:textId="77777777" w:rsidTr="002C1F61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45DD3AA" w14:textId="77777777" w:rsidR="00976BBE" w:rsidRPr="006F6049" w:rsidRDefault="00976BBE" w:rsidP="00976BB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A110302 Međunarodni festival čipke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E8DD8CE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2C32B94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46BB750" w14:textId="2FCFE940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3645D24" w14:textId="274601C5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C560930" w14:textId="06014275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976BBE" w:rsidRPr="006F6049" w14:paraId="05C709F0" w14:textId="77777777" w:rsidTr="00754BCC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B3B4B9A" w14:textId="77777777" w:rsidR="00976BBE" w:rsidRPr="006F6049" w:rsidRDefault="00976BBE" w:rsidP="00976BB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F604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A110303 Advent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CD02E82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99509B8" w14:textId="77777777" w:rsidR="00976BBE" w:rsidRPr="006F6049" w:rsidRDefault="00976BBE" w:rsidP="00976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F60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5A29F2E" w14:textId="4C66D2B6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AC15830" w14:textId="0348B4FB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6611748" w14:textId="7E3B8C1D" w:rsidR="00976BBE" w:rsidRPr="00976BBE" w:rsidRDefault="00976BBE" w:rsidP="00976BB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976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</w:tr>
    </w:tbl>
    <w:p w14:paraId="2364C4E9" w14:textId="77777777" w:rsidR="00001C6D" w:rsidRPr="00751C3A" w:rsidRDefault="0066177B" w:rsidP="003B2352">
      <w:pPr>
        <w:spacing w:after="0"/>
        <w:jc w:val="both"/>
      </w:pPr>
      <w:r w:rsidRPr="00751C3A">
        <w:t>Cilj: zaštita materijalne i nematerijalne kulturno-povijesne baštine i njezinu valorizaciju i promociju kako bi bila dostupnija cjelokupnom društvu</w:t>
      </w:r>
    </w:p>
    <w:p w14:paraId="6BE2DB2F" w14:textId="77777777" w:rsidR="00427CBE" w:rsidRDefault="00427CBE" w:rsidP="001F7A5F">
      <w:pPr>
        <w:spacing w:after="0"/>
        <w:jc w:val="both"/>
      </w:pPr>
      <w:r w:rsidRPr="00751C3A">
        <w:t>Pokazatelji: broj posjetitelja ustanova u kulturi i kulturnih manifestacija na području JLS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501"/>
        <w:gridCol w:w="266"/>
        <w:gridCol w:w="1696"/>
        <w:gridCol w:w="1151"/>
        <w:gridCol w:w="1151"/>
        <w:gridCol w:w="1155"/>
      </w:tblGrid>
      <w:tr w:rsidR="00B237D3" w:rsidRPr="00B237D3" w14:paraId="6687A78B" w14:textId="77777777" w:rsidTr="00E92F39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308E7530" w14:textId="77777777" w:rsidR="00B237D3" w:rsidRPr="00B237D3" w:rsidRDefault="00B237D3" w:rsidP="00B237D3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64326D1B" w14:textId="77777777" w:rsidR="00B237D3" w:rsidRPr="00B237D3" w:rsidRDefault="00B237D3" w:rsidP="00B2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7D908743" w14:textId="77777777" w:rsidR="00B237D3" w:rsidRPr="00B237D3" w:rsidRDefault="00B237D3" w:rsidP="00B2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2CA2091B" w14:textId="08E85C54" w:rsidR="00B237D3" w:rsidRPr="00B237D3" w:rsidRDefault="00B237D3" w:rsidP="00B237D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5F441CB6" w14:textId="60EE15F4" w:rsidR="00B237D3" w:rsidRPr="00B237D3" w:rsidRDefault="00B237D3" w:rsidP="00B237D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530E4C08" w14:textId="61B92BC1" w:rsidR="00B237D3" w:rsidRPr="00B237D3" w:rsidRDefault="00B237D3" w:rsidP="00B237D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976BBE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534F81" w:rsidRPr="00B237D3" w14:paraId="05D8F8DE" w14:textId="77777777" w:rsidTr="00E92F39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  <w:hideMark/>
          </w:tcPr>
          <w:p w14:paraId="47D02633" w14:textId="77777777" w:rsidR="00534F81" w:rsidRPr="00B237D3" w:rsidRDefault="00534F81" w:rsidP="00534F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B237D3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Razdjel 002 URED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1756494C" w14:textId="77777777" w:rsidR="00534F81" w:rsidRPr="00B237D3" w:rsidRDefault="00534F81" w:rsidP="00534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6446A91F" w14:textId="77777777" w:rsidR="00534F81" w:rsidRPr="00B237D3" w:rsidRDefault="00534F81" w:rsidP="00534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05D2F32A" w14:textId="292646EE" w:rsidR="00534F81" w:rsidRPr="00534F81" w:rsidRDefault="00534F81" w:rsidP="00534F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34F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4.064.302,00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08C75120" w14:textId="78C39462" w:rsidR="00534F81" w:rsidRPr="00534F81" w:rsidRDefault="00534F81" w:rsidP="00534F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34F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4.064.302,00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617FFB4F" w14:textId="33606811" w:rsidR="00534F81" w:rsidRPr="00534F81" w:rsidRDefault="00534F81" w:rsidP="00534F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34F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4.064.302,00</w:t>
            </w:r>
          </w:p>
        </w:tc>
      </w:tr>
      <w:tr w:rsidR="00E92F39" w:rsidRPr="00B237D3" w14:paraId="1E9614E3" w14:textId="77777777" w:rsidTr="00E92F39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FD01717" w14:textId="77777777" w:rsidR="00E92F39" w:rsidRPr="00B237D3" w:rsidRDefault="00E92F39" w:rsidP="00E92F39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B237D3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00201 URED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D12C146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38D4DE7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EF28EF5" w14:textId="66B939CB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1.391.350,00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A63002F" w14:textId="585EE754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1.391.350,00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30AC0E0" w14:textId="0895E63F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1.391.350,00</w:t>
            </w:r>
          </w:p>
        </w:tc>
      </w:tr>
      <w:tr w:rsidR="00E92F39" w:rsidRPr="00B237D3" w14:paraId="447C1E26" w14:textId="77777777" w:rsidTr="00202E0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EAC1530" w14:textId="77777777" w:rsidR="00E92F39" w:rsidRPr="00B237D3" w:rsidRDefault="00E92F39" w:rsidP="00E92F3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B237D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1200 PRIPREMA I DONOŠENJE AKATA IZ DJELOKRUGA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AB5D2A4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C5EAF54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778E382" w14:textId="403EB7C9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3BCE2B1" w14:textId="234B8114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05192DE" w14:textId="785DF73A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</w:tr>
      <w:tr w:rsidR="00E92F39" w:rsidRPr="00B237D3" w14:paraId="1C493B6C" w14:textId="77777777" w:rsidTr="00C97B00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89D66ED" w14:textId="77777777" w:rsidR="00E92F39" w:rsidRPr="00B237D3" w:rsidRDefault="00E92F39" w:rsidP="00E92F3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B237D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A120001 Stručno, administrativno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9828B1B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01F7210" w14:textId="77777777" w:rsidR="00E92F39" w:rsidRPr="00B237D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B237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678EF9" w14:textId="4D8D1B79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E4EB62" w14:textId="44B84229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526CB11" w14:textId="7E0C5742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487.800,00</w:t>
            </w:r>
          </w:p>
        </w:tc>
      </w:tr>
    </w:tbl>
    <w:p w14:paraId="446A9EFA" w14:textId="77777777" w:rsidR="00B935D6" w:rsidRPr="00751C3A" w:rsidRDefault="007C10C4" w:rsidP="000369CB">
      <w:pPr>
        <w:pStyle w:val="Tijeloteksta"/>
        <w:spacing w:after="0"/>
        <w:jc w:val="both"/>
      </w:pPr>
      <w:r w:rsidRPr="00751C3A">
        <w:t>Cilj: Osiguravanje nesmetanog obavljanja poslova kroz optimalni broj djelatnika gradske uprave radi zadovoljavanja potreba građana u okviru zakonom utvrđenih zadaća JLS. Provođenje politike plaća i drugih materijalnih prava zaposlenika u skladu s proračunskim mogućnostima te osiguravanje sredstava za nesmetano obavljanje upravnih, stručnih, administrativnih i ostalih poslova Odjela.</w:t>
      </w:r>
    </w:p>
    <w:p w14:paraId="4961A4E7" w14:textId="77777777" w:rsidR="00D62800" w:rsidRDefault="007C10C4" w:rsidP="000369CB">
      <w:pPr>
        <w:pStyle w:val="Tijeloteksta"/>
        <w:spacing w:after="0"/>
        <w:jc w:val="both"/>
      </w:pPr>
      <w:r w:rsidRPr="00751C3A">
        <w:t>Pokazatelji: Ispunjavanje zakonskih obveza i obveza iz Pravilnika o radu, ispunjavanje obveza po posebnim propisima, redovito i nesmetano odvijanje pr</w:t>
      </w:r>
      <w:r w:rsidR="00D62800" w:rsidRPr="00751C3A">
        <w:t>ocesa rada upravnih tijela Grada</w:t>
      </w:r>
    </w:p>
    <w:tbl>
      <w:tblPr>
        <w:tblW w:w="9915" w:type="dxa"/>
        <w:tblLook w:val="04A0" w:firstRow="1" w:lastRow="0" w:firstColumn="1" w:lastColumn="0" w:noHBand="0" w:noVBand="1"/>
      </w:tblPr>
      <w:tblGrid>
        <w:gridCol w:w="4536"/>
        <w:gridCol w:w="266"/>
        <w:gridCol w:w="1715"/>
        <w:gridCol w:w="1132"/>
        <w:gridCol w:w="1114"/>
        <w:gridCol w:w="1152"/>
      </w:tblGrid>
      <w:tr w:rsidR="003921E3" w:rsidRPr="003921E3" w14:paraId="72C61DCD" w14:textId="77777777" w:rsidTr="003921E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8751D5C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FF41BA0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2D4B4B9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525F0C1" w14:textId="443B5BBC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E92F3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B91E3E5" w14:textId="56AA13C9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E92F3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6E0A27C" w14:textId="2665A75A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E92F39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E92F39" w:rsidRPr="003921E3" w14:paraId="2BC5E29F" w14:textId="77777777" w:rsidTr="0023230F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8B4E61C" w14:textId="77777777" w:rsidR="00E92F39" w:rsidRPr="003921E3" w:rsidRDefault="00E92F39" w:rsidP="00E92F3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1201 OSTALI RASHODI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EEC846F" w14:textId="77777777" w:rsidR="00E92F39" w:rsidRPr="003921E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2A15C01" w14:textId="77777777" w:rsidR="00E92F39" w:rsidRPr="003921E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3538FB8" w14:textId="4C9CEFA3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270.100,00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7BD5B57" w14:textId="55CB5160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270.100,00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665D5C0" w14:textId="68783FB7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270.100,00</w:t>
            </w:r>
          </w:p>
        </w:tc>
      </w:tr>
      <w:tr w:rsidR="00E92F39" w:rsidRPr="003921E3" w14:paraId="5E519884" w14:textId="77777777" w:rsidTr="007934D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205189A" w14:textId="77777777" w:rsidR="00E92F39" w:rsidRPr="003921E3" w:rsidRDefault="00E92F39" w:rsidP="00E92F39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A120101 Ostali rashodi po posebnim aktima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88DBAFD" w14:textId="77777777" w:rsidR="00E92F39" w:rsidRPr="003921E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04B5D3F" w14:textId="77777777" w:rsidR="00E92F39" w:rsidRPr="003921E3" w:rsidRDefault="00E92F39" w:rsidP="00E92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644EB7D" w14:textId="71444C05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71.400,00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D0AFDB0" w14:textId="093972B4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71.400,00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9B34B04" w14:textId="123BAAA0" w:rsidR="00E92F39" w:rsidRPr="00E92F39" w:rsidRDefault="00E92F39" w:rsidP="00E92F39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E92F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71.400,00</w:t>
            </w:r>
          </w:p>
        </w:tc>
      </w:tr>
      <w:tr w:rsidR="007B214E" w:rsidRPr="003921E3" w14:paraId="4F61F78F" w14:textId="77777777" w:rsidTr="0040114F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B54E567" w14:textId="77777777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A120102 Sufinanciranje rada djelatnika i  ustanova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2F19E60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A558964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E8483DF" w14:textId="616B6FDE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CC3B183" w14:textId="769B2C4C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A7D98F6" w14:textId="14D202E6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</w:tr>
      <w:tr w:rsidR="007B214E" w:rsidRPr="003921E3" w14:paraId="3927C329" w14:textId="77777777" w:rsidTr="00674C7A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C63178A" w14:textId="77777777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A120103 Izrada strateških dokumenata i elaborata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08B0D3C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1877343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45DC195" w14:textId="343A3AE7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BD85A41" w14:textId="485FCE65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60B4375" w14:textId="5B9541FE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</w:tr>
      <w:tr w:rsidR="007B214E" w:rsidRPr="003921E3" w14:paraId="723F3CEC" w14:textId="77777777" w:rsidTr="00674C7A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53ED635" w14:textId="3040FF43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A12010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</w:t>
            </w: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Uređenje pomorskog dobra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6AC9323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5955E23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E4935EF" w14:textId="75534903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57.700,00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9A70E22" w14:textId="1724FC57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57.700,00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8D5EF03" w14:textId="00F16003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57.700,00</w:t>
            </w:r>
          </w:p>
        </w:tc>
      </w:tr>
      <w:tr w:rsidR="007B214E" w:rsidRPr="003921E3" w14:paraId="145513E0" w14:textId="77777777" w:rsidTr="00674C7A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0B1C174" w14:textId="2FECE4CF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A12010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</w:t>
            </w: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Marketing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E5726EE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407D3D3F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FA369FD" w14:textId="59394472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B25C90E" w14:textId="0503A2A8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39EF620" w14:textId="7783C751" w:rsidR="007B214E" w:rsidRPr="007B214E" w:rsidRDefault="007B214E" w:rsidP="007B2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</w:tr>
    </w:tbl>
    <w:p w14:paraId="2B8423C0" w14:textId="18A5CEB1" w:rsidR="00201DC9" w:rsidRPr="00751C3A" w:rsidRDefault="00791F35" w:rsidP="000369CB">
      <w:pPr>
        <w:pStyle w:val="Tijeloteksta"/>
        <w:spacing w:after="0"/>
        <w:jc w:val="both"/>
      </w:pPr>
      <w:r w:rsidRPr="00751C3A">
        <w:t>Cilj: Zadovoljenje potreba stanovništva kroz sufinanciranje potrebne radne snage u drugim ustanovama; izrada potrebnih strateških dokumenata</w:t>
      </w:r>
      <w:r w:rsidR="007B214E">
        <w:t>; uređenje prostora pomorskog dobra; prepoznatljivost Grada</w:t>
      </w:r>
    </w:p>
    <w:p w14:paraId="075C3F11" w14:textId="6461A24B" w:rsidR="00391C43" w:rsidRDefault="00391C43" w:rsidP="000369CB">
      <w:pPr>
        <w:pStyle w:val="Tijeloteksta"/>
        <w:spacing w:after="0"/>
        <w:jc w:val="both"/>
      </w:pPr>
      <w:r w:rsidRPr="00751C3A">
        <w:t>Pokazatelji: broj sufinanciranih zaposlenika; broj donesenih strateških dokumenata</w:t>
      </w:r>
      <w:r w:rsidR="007B214E">
        <w:t>; broj dokumenata i aktivnosti uređenja pomorskog dobra; broj marketinških aktivnosti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4536"/>
        <w:gridCol w:w="266"/>
        <w:gridCol w:w="1714"/>
        <w:gridCol w:w="1132"/>
        <w:gridCol w:w="1113"/>
        <w:gridCol w:w="1152"/>
      </w:tblGrid>
      <w:tr w:rsidR="003921E3" w:rsidRPr="003921E3" w14:paraId="5027771A" w14:textId="77777777" w:rsidTr="003921E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76C4524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FA5584E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539AD8F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0C41F4B" w14:textId="3F9B1D2C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EF139A3" w14:textId="6D09F8C0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73D27AB" w14:textId="2DC128CD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7B214E" w:rsidRPr="003921E3" w14:paraId="7759ED4A" w14:textId="77777777" w:rsidTr="00C52A96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6BE85719" w14:textId="77777777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1203 NABAVA I ODRŽAVANJE OPREME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B623D96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2E185BA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0D3E910" w14:textId="378BF02F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CA1095F" w14:textId="5EA25119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8F12D0C" w14:textId="7A4DB1A9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232.500,00</w:t>
            </w:r>
          </w:p>
        </w:tc>
      </w:tr>
      <w:tr w:rsidR="007B214E" w:rsidRPr="003921E3" w14:paraId="69EF4C47" w14:textId="77777777" w:rsidTr="006A2C3D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FF1181C" w14:textId="4E8FA4EA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A120301 Od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r</w:t>
            </w: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žavanje opreme i programa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F36B71F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1C0F02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C78852F" w14:textId="3E111811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69A4486" w14:textId="7BE1A621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43AA77" w14:textId="4F6C9310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</w:tr>
      <w:tr w:rsidR="007B214E" w:rsidRPr="003921E3" w14:paraId="65B4A8D7" w14:textId="77777777" w:rsidTr="007A06EB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C4E30B6" w14:textId="77777777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K120301 Računalna i druga oprema i programi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EAF85B0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EA8AD65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810CA4B" w14:textId="43D3416E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2D677A" w14:textId="0854BCBE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3E7910F" w14:textId="7052D64D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116.500,00</w:t>
            </w:r>
          </w:p>
        </w:tc>
      </w:tr>
      <w:tr w:rsidR="003921E3" w:rsidRPr="003921E3" w14:paraId="3EE4D0B2" w14:textId="77777777" w:rsidTr="003921E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EBE2961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K120302 Uredska oprema i namještaj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0464FF2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475CB5B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075719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2A52948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52D88C6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3921E3" w:rsidRPr="003921E3" w14:paraId="5A763AC5" w14:textId="77777777" w:rsidTr="003921E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B27226A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K120303 Umjetnička djela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602FF9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01D39DA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C41243C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A17C294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C9064C2" w14:textId="77777777" w:rsidR="003921E3" w:rsidRPr="007B214E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</w:tbl>
    <w:p w14:paraId="0816E68F" w14:textId="77777777" w:rsidR="00201DC9" w:rsidRPr="00751C3A" w:rsidRDefault="00AC0B0F" w:rsidP="000369CB">
      <w:pPr>
        <w:pStyle w:val="Tijeloteksta"/>
        <w:spacing w:after="0"/>
        <w:jc w:val="both"/>
      </w:pPr>
      <w:r w:rsidRPr="00751C3A">
        <w:t xml:space="preserve">Cilj: nabava i održavanje opreme za rad gradske uprave </w:t>
      </w:r>
    </w:p>
    <w:p w14:paraId="7197BC89" w14:textId="77777777" w:rsidR="00201DC9" w:rsidRDefault="00AC0B0F" w:rsidP="000369CB">
      <w:pPr>
        <w:pStyle w:val="Tijeloteksta"/>
        <w:spacing w:after="0"/>
        <w:jc w:val="both"/>
      </w:pPr>
      <w:r w:rsidRPr="00751C3A">
        <w:t xml:space="preserve">Pokazatelji: broj komada novonabavljene opreme, </w:t>
      </w:r>
    </w:p>
    <w:p w14:paraId="43B5B43E" w14:textId="77777777" w:rsidR="003921E3" w:rsidRDefault="003921E3" w:rsidP="000369CB">
      <w:pPr>
        <w:pStyle w:val="Tijeloteksta"/>
        <w:spacing w:after="0"/>
        <w:jc w:val="both"/>
      </w:pPr>
    </w:p>
    <w:p w14:paraId="591A31CA" w14:textId="77777777" w:rsidR="003921E3" w:rsidRDefault="003921E3" w:rsidP="000369CB">
      <w:pPr>
        <w:pStyle w:val="Tijeloteksta"/>
        <w:spacing w:after="0"/>
        <w:jc w:val="both"/>
      </w:pPr>
    </w:p>
    <w:p w14:paraId="419723B5" w14:textId="77777777" w:rsidR="007B214E" w:rsidRDefault="007B214E" w:rsidP="000369CB">
      <w:pPr>
        <w:pStyle w:val="Tijeloteksta"/>
        <w:spacing w:after="0"/>
        <w:jc w:val="both"/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4395"/>
        <w:gridCol w:w="266"/>
        <w:gridCol w:w="1715"/>
        <w:gridCol w:w="1131"/>
        <w:gridCol w:w="1111"/>
        <w:gridCol w:w="1150"/>
      </w:tblGrid>
      <w:tr w:rsidR="003921E3" w:rsidRPr="003921E3" w14:paraId="464159AE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573A9F8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14C462B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62CA681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9FC7642" w14:textId="1B1A7222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551A230" w14:textId="712B9241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7C7C79A" w14:textId="437A1155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B21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7B214E" w:rsidRPr="003921E3" w14:paraId="25823165" w14:textId="77777777" w:rsidTr="0049424C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EE4AD34" w14:textId="77777777" w:rsidR="007B214E" w:rsidRPr="003921E3" w:rsidRDefault="007B214E" w:rsidP="007B214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1214 ZAŠTITA I SPAŠAVANJE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5D58FF0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CFFC12E" w14:textId="77777777" w:rsidR="007B214E" w:rsidRPr="003921E3" w:rsidRDefault="007B214E" w:rsidP="007B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AA2D721" w14:textId="7566620D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139.450,00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423E987" w14:textId="056D3E22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139.450,00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0C2A008" w14:textId="3F5F8E8D" w:rsidR="007B214E" w:rsidRPr="007B214E" w:rsidRDefault="007B214E" w:rsidP="007B214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B2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139.450,00</w:t>
            </w:r>
          </w:p>
        </w:tc>
      </w:tr>
      <w:tr w:rsidR="0058492D" w:rsidRPr="003921E3" w14:paraId="3DB8AB4F" w14:textId="77777777" w:rsidTr="005C028B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EADA50B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A121401 Unapređenje dobrovoljnog vatrogastva i zaštite od požara - DVD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6A15710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695BFE6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9EFD883" w14:textId="641AF5E9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51DA08" w14:textId="61477D74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C262079" w14:textId="621CCC05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8492D" w:rsidRPr="003921E3" w14:paraId="29220C6D" w14:textId="77777777" w:rsidTr="00AF769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090B802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A121402 Izrada planova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AF01B69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858808E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648B9B4" w14:textId="5C341AAC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F08FA5E" w14:textId="7990C291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679C908" w14:textId="2CAF5FE8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8492D" w:rsidRPr="003921E3" w14:paraId="625C9DAE" w14:textId="77777777" w:rsidTr="003E743D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A43873E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A121404 Gorska služba spašavanja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BA8209A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F78DEF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30CE970" w14:textId="6988C0F8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641878" w14:textId="7EDD6C19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80BA8EF" w14:textId="16BDBE71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8492D" w:rsidRPr="003921E3" w14:paraId="3AF92551" w14:textId="77777777" w:rsidTr="00D07D2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1A19A5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A121405 Aktivnost Civilne zaštite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25684F8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C37D025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439022C" w14:textId="10377E5B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A151D96" w14:textId="115F2D55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71CE7E5" w14:textId="3807B5E8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8492D" w:rsidRPr="003921E3" w14:paraId="3A362C7D" w14:textId="77777777" w:rsidTr="00C37778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3196833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A121406 Djelatnost Crvenog križa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BF22DB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FA8D320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AB83980" w14:textId="551325B1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26.950,00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882CA28" w14:textId="58EDE6C7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26.950,00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C920E29" w14:textId="62F64AE1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26.950,00</w:t>
            </w:r>
          </w:p>
        </w:tc>
      </w:tr>
      <w:tr w:rsidR="0058492D" w:rsidRPr="003921E3" w14:paraId="523628AA" w14:textId="77777777" w:rsidTr="00C37778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62598829" w14:textId="36D4234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A12140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Postavljanje i održavanje sustava hidranta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FC98648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1313587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7DF2674" w14:textId="6E817F8B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6D302A3" w14:textId="7906E3B0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8190087" w14:textId="1859E23B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</w:tbl>
    <w:p w14:paraId="3BF6F352" w14:textId="77777777" w:rsidR="00201DC9" w:rsidRPr="00751C3A" w:rsidRDefault="004D2AA4" w:rsidP="000369CB">
      <w:pPr>
        <w:pStyle w:val="Tijeloteksta"/>
        <w:spacing w:after="0"/>
        <w:jc w:val="both"/>
      </w:pPr>
      <w:r w:rsidRPr="00751C3A">
        <w:t>Cilj: jačanje kapaciteta i poboljšanje opremljenosti vatrogasne i civilne zaštite što pridonosi sigurnosti i otpornosti Grada Paga te izravno utječe na kvalitetu života, kao i uvjete razvoja Grada</w:t>
      </w:r>
    </w:p>
    <w:p w14:paraId="0BE153B4" w14:textId="0C211674" w:rsidR="00201DC9" w:rsidRPr="00751C3A" w:rsidRDefault="004D2AA4" w:rsidP="000369CB">
      <w:pPr>
        <w:pStyle w:val="Tijeloteksta"/>
        <w:spacing w:after="0"/>
        <w:jc w:val="both"/>
      </w:pPr>
      <w:r w:rsidRPr="00751C3A">
        <w:t>Pokazatelji: rashodi za civilnu zaštitu, po stanovniku, broj članova operativnih snaga civilne zaštite</w:t>
      </w:r>
      <w:r w:rsidR="0058492D">
        <w:t>, broj hidranata</w:t>
      </w:r>
    </w:p>
    <w:p w14:paraId="5E54DBBB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4395"/>
        <w:gridCol w:w="266"/>
        <w:gridCol w:w="1715"/>
        <w:gridCol w:w="1131"/>
        <w:gridCol w:w="1111"/>
        <w:gridCol w:w="1150"/>
      </w:tblGrid>
      <w:tr w:rsidR="003921E3" w:rsidRPr="003921E3" w14:paraId="0FB6C71F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4BB7F69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813A1E8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437150E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02F7069" w14:textId="40C823D4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6F83A12" w14:textId="560541E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BD89AC9" w14:textId="717FA486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3921E3" w:rsidRPr="003921E3" w14:paraId="3E6AFBFB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1E2E735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1215 SOCIJALNA SKRB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8CCB233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FDD0F1D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5E99BB67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AB73F9A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30FC0F9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3921E3" w:rsidRPr="003921E3" w14:paraId="768B03CB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95198D6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A121501 Pomoć za podmirenje troškova stanovanja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A611C9D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A9388D4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8F50608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AF532A6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BA51107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3921E3" w:rsidRPr="003921E3" w14:paraId="75640840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E1D832C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A121502 Pomoći pojedincima i obiteljima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3E15B6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1D3C215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3C966BD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077229A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5771B6D" w14:textId="77777777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</w:tbl>
    <w:p w14:paraId="5ECE91FD" w14:textId="77777777" w:rsidR="00201DC9" w:rsidRPr="00751C3A" w:rsidRDefault="00427CBE" w:rsidP="000369CB">
      <w:pPr>
        <w:pStyle w:val="Tijeloteksta"/>
        <w:spacing w:after="0"/>
        <w:jc w:val="both"/>
      </w:pPr>
      <w:r w:rsidRPr="00751C3A">
        <w:t>Cilj: povećanje kvalitete i dostupnosti zdravstvene zaštite te socijalne skrbi, kao preduvjeta za unaprjeđenje kvalitete života u Gradu Pagu</w:t>
      </w:r>
    </w:p>
    <w:p w14:paraId="35C37F5D" w14:textId="77777777" w:rsidR="00201DC9" w:rsidRPr="00751C3A" w:rsidRDefault="004D2AA4" w:rsidP="000369CB">
      <w:pPr>
        <w:pStyle w:val="Tijeloteksta"/>
        <w:spacing w:after="0"/>
        <w:jc w:val="both"/>
      </w:pPr>
      <w:r w:rsidRPr="00751C3A">
        <w:t xml:space="preserve">Pokazatelji: Rashodi za socijalnu zaštitu JLS, po stanovniku, </w:t>
      </w:r>
    </w:p>
    <w:p w14:paraId="27F9D9AB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4395"/>
        <w:gridCol w:w="266"/>
        <w:gridCol w:w="1714"/>
        <w:gridCol w:w="1130"/>
        <w:gridCol w:w="1111"/>
        <w:gridCol w:w="1150"/>
      </w:tblGrid>
      <w:tr w:rsidR="003921E3" w:rsidRPr="003921E3" w14:paraId="57E9BD8F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5472519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5670042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B81A516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7A73747" w14:textId="1459F925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500630E" w14:textId="55E55FE0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AE4D5C6" w14:textId="0B47808A" w:rsidR="003921E3" w:rsidRPr="003921E3" w:rsidRDefault="003921E3" w:rsidP="003921E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58492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58492D" w:rsidRPr="003921E3" w14:paraId="74391BDF" w14:textId="77777777" w:rsidTr="00940568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6229CF4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1216 OČUVANJE I UNAPREĐENJE ZDRAVLJA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8EC1834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4695B61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8E385EE" w14:textId="7011033D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B95F8AA" w14:textId="04C573E6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3717F9A" w14:textId="4D4A5109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51.700,00</w:t>
            </w:r>
          </w:p>
        </w:tc>
      </w:tr>
      <w:tr w:rsidR="003921E3" w:rsidRPr="003921E3" w14:paraId="10C7737A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DEF2D8D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A121603 Program prevencije ovisnosti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B357A8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A36B547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FD53856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1DF2963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9439567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3921E3" w:rsidRPr="003921E3" w14:paraId="079E585E" w14:textId="77777777" w:rsidTr="003921E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EA5C7BE" w14:textId="77777777" w:rsidR="003921E3" w:rsidRPr="003921E3" w:rsidRDefault="003921E3" w:rsidP="003921E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A121604 Meteorološka mjerenja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EC953F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72667D5" w14:textId="77777777" w:rsidR="003921E3" w:rsidRPr="003921E3" w:rsidRDefault="003921E3" w:rsidP="00392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76A16F7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BFFF19A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4E45BB0" w14:textId="77777777" w:rsidR="003921E3" w:rsidRPr="0058492D" w:rsidRDefault="003921E3" w:rsidP="00392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</w:tr>
      <w:tr w:rsidR="0058492D" w:rsidRPr="003921E3" w14:paraId="119E0ED0" w14:textId="77777777" w:rsidTr="00A479AB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0B0B110" w14:textId="77777777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A121605 Rad timova hitne medicinske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85A560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32649AA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921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E4C6EB" w14:textId="2D49D0CE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9AFD5C6" w14:textId="31EEA846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9A8F3CE" w14:textId="280B0A0F" w:rsidR="0058492D" w:rsidRPr="0058492D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7.700,00</w:t>
            </w:r>
          </w:p>
        </w:tc>
      </w:tr>
      <w:tr w:rsidR="0058492D" w:rsidRPr="003921E3" w14:paraId="0B55D6E2" w14:textId="77777777" w:rsidTr="00A479AB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573728D3" w14:textId="076A6D4B" w:rsidR="0058492D" w:rsidRPr="003921E3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A12160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  <w:r w:rsidRPr="003921E3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Sufinanciranje – Doma zdravlja Zadarske županije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7A261CA9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32682D2" w14:textId="77777777" w:rsidR="0058492D" w:rsidRPr="003921E3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7757CD8" w14:textId="6EF88620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1433A0C" w14:textId="4F3E7D0C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B168E16" w14:textId="2B502647" w:rsidR="0058492D" w:rsidRPr="0058492D" w:rsidRDefault="0058492D" w:rsidP="005849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4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</w:tbl>
    <w:p w14:paraId="6B47D19D" w14:textId="77777777" w:rsidR="00201DC9" w:rsidRPr="00751C3A" w:rsidRDefault="00427CBE" w:rsidP="000369CB">
      <w:pPr>
        <w:pStyle w:val="Tijeloteksta"/>
        <w:spacing w:after="0"/>
        <w:jc w:val="both"/>
      </w:pPr>
      <w:r w:rsidRPr="00751C3A">
        <w:t>Cilj: povećanje kvalitete i dostupnosti zdravstvene zaštite te socijalne skrbi, kao preduvjeta za unaprjeđenje kvalitete života u Gradu Pagu</w:t>
      </w:r>
    </w:p>
    <w:p w14:paraId="3D4171D7" w14:textId="77777777" w:rsidR="00201DC9" w:rsidRDefault="00427CBE" w:rsidP="000369CB">
      <w:pPr>
        <w:pStyle w:val="Tijeloteksta"/>
        <w:spacing w:after="0"/>
        <w:jc w:val="both"/>
      </w:pPr>
      <w:r w:rsidRPr="00751C3A">
        <w:t>Pokazatelji: Rashodi za z</w:t>
      </w:r>
      <w:r w:rsidR="004D2AA4" w:rsidRPr="00751C3A">
        <w:t>dravstvo JLS, po stanovniku</w:t>
      </w:r>
    </w:p>
    <w:p w14:paraId="12B91E0C" w14:textId="77777777" w:rsidR="0080548E" w:rsidRDefault="0080548E" w:rsidP="000369CB">
      <w:pPr>
        <w:pStyle w:val="Tijeloteksta"/>
        <w:spacing w:after="0"/>
        <w:jc w:val="both"/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4395"/>
        <w:gridCol w:w="266"/>
        <w:gridCol w:w="1714"/>
        <w:gridCol w:w="1130"/>
        <w:gridCol w:w="1111"/>
        <w:gridCol w:w="1150"/>
      </w:tblGrid>
      <w:tr w:rsidR="0058492D" w:rsidRPr="00593B47" w14:paraId="2BE8CCCA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B50B650" w14:textId="77777777" w:rsidR="0058492D" w:rsidRPr="00593B47" w:rsidRDefault="0058492D" w:rsidP="0058492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426EFA85" w14:textId="77777777" w:rsidR="0058492D" w:rsidRPr="00593B47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68DA9E4" w14:textId="77777777" w:rsidR="0058492D" w:rsidRPr="00593B47" w:rsidRDefault="0058492D" w:rsidP="0058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3BB670B" w14:textId="30F322D9" w:rsidR="0058492D" w:rsidRPr="00593B47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76CFB51" w14:textId="0319D5B9" w:rsidR="0058492D" w:rsidRPr="00593B47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AF2490A" w14:textId="63289E1D" w:rsidR="0058492D" w:rsidRPr="00593B47" w:rsidRDefault="0058492D" w:rsidP="0058492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93B47" w:rsidRPr="00593B47" w14:paraId="26570D29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8E51753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1217 DEMOGRAFSKA OBNOVA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7BCB029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CBEC2AD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D3F4002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E8792C5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2168E1F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41.300,00</w:t>
            </w:r>
          </w:p>
        </w:tc>
      </w:tr>
      <w:tr w:rsidR="00593B47" w:rsidRPr="00593B47" w14:paraId="07BB2C10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4A0A5D3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A121701 Naknade obiteljima za novorođenu djecu te četvoro i više djece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20677E0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31BFB0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893B1AE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5144BE2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6AFF79D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593B47" w:rsidRPr="00593B47" w14:paraId="4D63E810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296161D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A121702 Sufinanciranje boravka djece u vrtiću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2DB2822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C9F72C5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C02E847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695B73F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8A3C25B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</w:tbl>
    <w:p w14:paraId="22B1050D" w14:textId="77777777" w:rsidR="00201DC9" w:rsidRPr="00751C3A" w:rsidRDefault="004D2AA4" w:rsidP="000369CB">
      <w:pPr>
        <w:pStyle w:val="Tijeloteksta"/>
        <w:spacing w:after="0"/>
        <w:jc w:val="both"/>
      </w:pPr>
      <w:r w:rsidRPr="00751C3A">
        <w:t>Cilj: Uslijed negativnih demografskih trendova, iseljavanja, osobito mlađe populacije, te starenja stanovništva, razvijena je ova mjera čiji je cilj ublažavanje negativnih trendova, revitalizacija i poboljšanje položaja obitelji i mladih</w:t>
      </w:r>
    </w:p>
    <w:p w14:paraId="7C1B764C" w14:textId="77777777" w:rsidR="004D2AA4" w:rsidRPr="00751C3A" w:rsidRDefault="004D2AA4" w:rsidP="000369CB">
      <w:pPr>
        <w:pStyle w:val="Tijeloteksta"/>
        <w:spacing w:after="0"/>
        <w:jc w:val="both"/>
      </w:pPr>
      <w:r w:rsidRPr="00751C3A">
        <w:t>Pokazatelji: Iznos isplaćenih potpora za novorođenu djecu</w:t>
      </w:r>
    </w:p>
    <w:p w14:paraId="449632C0" w14:textId="77777777" w:rsidR="00201DC9" w:rsidRDefault="00201DC9" w:rsidP="000369CB">
      <w:pPr>
        <w:pStyle w:val="Tijeloteksta"/>
        <w:spacing w:after="0"/>
        <w:jc w:val="both"/>
      </w:pPr>
    </w:p>
    <w:p w14:paraId="11DFCF2F" w14:textId="77777777" w:rsidR="00CD25F3" w:rsidRDefault="00CD25F3" w:rsidP="000369CB">
      <w:pPr>
        <w:pStyle w:val="Tijeloteksta"/>
        <w:spacing w:after="0"/>
        <w:jc w:val="both"/>
      </w:pPr>
    </w:p>
    <w:p w14:paraId="16E30AD1" w14:textId="77777777" w:rsidR="00CD25F3" w:rsidRDefault="00CD25F3" w:rsidP="000369CB">
      <w:pPr>
        <w:pStyle w:val="Tijeloteksta"/>
        <w:spacing w:after="0"/>
        <w:jc w:val="both"/>
      </w:pPr>
    </w:p>
    <w:p w14:paraId="123D2C68" w14:textId="77777777" w:rsidR="00CD25F3" w:rsidRDefault="00CD25F3" w:rsidP="000369CB">
      <w:pPr>
        <w:pStyle w:val="Tijeloteksta"/>
        <w:spacing w:after="0"/>
        <w:jc w:val="both"/>
      </w:pPr>
    </w:p>
    <w:p w14:paraId="7A90BA49" w14:textId="77777777" w:rsidR="00CD25F3" w:rsidRDefault="00CD25F3" w:rsidP="000369CB">
      <w:pPr>
        <w:pStyle w:val="Tijeloteksta"/>
        <w:spacing w:after="0"/>
        <w:jc w:val="both"/>
      </w:pPr>
    </w:p>
    <w:p w14:paraId="5C409B70" w14:textId="77777777" w:rsidR="00CD25F3" w:rsidRDefault="00CD25F3" w:rsidP="000369CB">
      <w:pPr>
        <w:pStyle w:val="Tijeloteksta"/>
        <w:spacing w:after="0"/>
        <w:jc w:val="both"/>
      </w:pPr>
    </w:p>
    <w:p w14:paraId="21F13004" w14:textId="77777777" w:rsidR="00CD25F3" w:rsidRDefault="00CD25F3" w:rsidP="000369CB">
      <w:pPr>
        <w:pStyle w:val="Tijeloteksta"/>
        <w:spacing w:after="0"/>
        <w:jc w:val="both"/>
      </w:pPr>
    </w:p>
    <w:tbl>
      <w:tblPr>
        <w:tblW w:w="9875" w:type="dxa"/>
        <w:tblLook w:val="04A0" w:firstRow="1" w:lastRow="0" w:firstColumn="1" w:lastColumn="0" w:noHBand="0" w:noVBand="1"/>
      </w:tblPr>
      <w:tblGrid>
        <w:gridCol w:w="3810"/>
        <w:gridCol w:w="266"/>
        <w:gridCol w:w="170"/>
        <w:gridCol w:w="1350"/>
        <w:gridCol w:w="567"/>
        <w:gridCol w:w="1052"/>
        <w:gridCol w:w="55"/>
        <w:gridCol w:w="1030"/>
        <w:gridCol w:w="65"/>
        <w:gridCol w:w="1485"/>
        <w:gridCol w:w="25"/>
      </w:tblGrid>
      <w:tr w:rsidR="00CD25F3" w:rsidRPr="00593B47" w14:paraId="68F6CF89" w14:textId="77777777" w:rsidTr="007D6E81">
        <w:trPr>
          <w:gridAfter w:val="1"/>
          <w:wAfter w:w="25" w:type="dxa"/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8025FA6" w14:textId="77777777" w:rsidR="00CD25F3" w:rsidRPr="00593B47" w:rsidRDefault="00CD25F3" w:rsidP="00CD25F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E1C2A69" w14:textId="77777777" w:rsidR="00CD25F3" w:rsidRPr="00593B47" w:rsidRDefault="00CD25F3" w:rsidP="00CD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993E671" w14:textId="77777777" w:rsidR="00CD25F3" w:rsidRPr="00593B47" w:rsidRDefault="00CD25F3" w:rsidP="00CD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9FC7742" w14:textId="6008DF51" w:rsidR="00CD25F3" w:rsidRPr="00593B47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57802B5" w14:textId="7E2D788B" w:rsidR="00CD25F3" w:rsidRPr="00593B47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80CAA88" w14:textId="26322C6A" w:rsidR="00CD25F3" w:rsidRPr="00593B47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CD25F3" w:rsidRPr="00593B47" w14:paraId="217483D0" w14:textId="77777777" w:rsidTr="007D6E81">
        <w:trPr>
          <w:gridAfter w:val="1"/>
          <w:wAfter w:w="25" w:type="dxa"/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B1845D1" w14:textId="77777777" w:rsidR="00CD25F3" w:rsidRPr="00593B47" w:rsidRDefault="00CD25F3" w:rsidP="00CD25F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1218 SUFINANCIRANJE ŠKOLSTVA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D3B1A43" w14:textId="77777777" w:rsidR="00CD25F3" w:rsidRPr="00593B47" w:rsidRDefault="00CD25F3" w:rsidP="00CD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F6B486F" w14:textId="77777777" w:rsidR="00CD25F3" w:rsidRPr="00593B47" w:rsidRDefault="00CD25F3" w:rsidP="00CD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1C67C13" w14:textId="7D219366" w:rsidR="00CD25F3" w:rsidRPr="00CD25F3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D25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130.500,00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692D61E" w14:textId="5A7BC3BA" w:rsidR="00CD25F3" w:rsidRPr="00CD25F3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D25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130.500,00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A2D286C" w14:textId="6C07F7BC" w:rsidR="00CD25F3" w:rsidRPr="00CD25F3" w:rsidRDefault="00CD25F3" w:rsidP="00CD25F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D25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130.500,00</w:t>
            </w:r>
          </w:p>
        </w:tc>
      </w:tr>
      <w:tr w:rsidR="00593B47" w:rsidRPr="007D6E81" w14:paraId="3FEE6193" w14:textId="77777777" w:rsidTr="007D6E81">
        <w:trPr>
          <w:gridAfter w:val="1"/>
          <w:wAfter w:w="25" w:type="dxa"/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DF18E78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A121801 Stipendije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6F34526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DB07515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5887BE6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005F527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F9AC7C4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93B47" w:rsidRPr="007D6E81" w14:paraId="1B9B6E6D" w14:textId="77777777" w:rsidTr="007D6E81">
        <w:trPr>
          <w:gridAfter w:val="1"/>
          <w:wAfter w:w="25" w:type="dxa"/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7222729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A121802 Sufinanciranje javnog prijevoza srednjoškolaca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44512CE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8EF4A8B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F0B8AF0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8DE0E3A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9D4966B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93B47" w:rsidRPr="007D6E81" w14:paraId="39BEC323" w14:textId="77777777" w:rsidTr="007D6E81">
        <w:trPr>
          <w:gridAfter w:val="1"/>
          <w:wAfter w:w="25" w:type="dxa"/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4E80020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A121803 Sufinanciranje kupnje školskih knjiga i pribora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3598BC4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53A442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CD171CF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A07F960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EF6B65C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93B47" w:rsidRPr="00593B47" w14:paraId="1D5EA9BF" w14:textId="77777777" w:rsidTr="007D6E81">
        <w:trPr>
          <w:trHeight w:val="259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361DF46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A121804 Produženi boravak učenika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CBF4283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067A3BC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3013EC9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1D2768A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21A7DF4" w14:textId="77777777" w:rsidR="00593B47" w:rsidRPr="007D6E81" w:rsidRDefault="00593B47" w:rsidP="00593B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</w:tr>
    </w:tbl>
    <w:p w14:paraId="1314F042" w14:textId="77777777" w:rsidR="00593B47" w:rsidRDefault="00593B47" w:rsidP="000369CB">
      <w:pPr>
        <w:pStyle w:val="Tijeloteksta"/>
        <w:spacing w:after="0"/>
        <w:jc w:val="both"/>
      </w:pPr>
    </w:p>
    <w:p w14:paraId="5090B9F4" w14:textId="77777777" w:rsidR="00593B47" w:rsidRDefault="00593B47" w:rsidP="000369CB">
      <w:pPr>
        <w:pStyle w:val="Tijeloteksta"/>
        <w:spacing w:after="0"/>
        <w:jc w:val="both"/>
      </w:pPr>
    </w:p>
    <w:p w14:paraId="4FBFE401" w14:textId="77777777" w:rsidR="00201DC9" w:rsidRPr="00751C3A" w:rsidRDefault="00427CBE" w:rsidP="000369CB">
      <w:pPr>
        <w:pStyle w:val="Tijeloteksta"/>
        <w:spacing w:after="0"/>
        <w:jc w:val="both"/>
      </w:pPr>
      <w:r w:rsidRPr="00751C3A">
        <w:t>Cilj: povećati dostupnost te osigurati kvalitetnije uvjete u provedbi odgojno- obrazovnog procesa u sustavu predškolskog i školskog programa</w:t>
      </w:r>
    </w:p>
    <w:p w14:paraId="0F9AD2A2" w14:textId="77777777" w:rsidR="00201DC9" w:rsidRPr="00751C3A" w:rsidRDefault="00427CBE" w:rsidP="000369CB">
      <w:pPr>
        <w:pStyle w:val="Tijeloteksta"/>
        <w:spacing w:after="0"/>
        <w:jc w:val="both"/>
      </w:pPr>
      <w:r w:rsidRPr="00751C3A">
        <w:t>Pokazatelji: Rashodi za odgojno obrazovn</w:t>
      </w:r>
      <w:r w:rsidR="004D2AA4" w:rsidRPr="00751C3A">
        <w:t>i sustav JLS, po stanovniku</w:t>
      </w:r>
      <w:r w:rsidRPr="00751C3A">
        <w:t>, broj učenika</w:t>
      </w:r>
    </w:p>
    <w:p w14:paraId="418F4347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361"/>
        <w:gridCol w:w="266"/>
        <w:gridCol w:w="1694"/>
        <w:gridCol w:w="1151"/>
        <w:gridCol w:w="1151"/>
        <w:gridCol w:w="1155"/>
      </w:tblGrid>
      <w:tr w:rsidR="00593B47" w:rsidRPr="00593B47" w14:paraId="76CFAC10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2661E926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153A1047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6F8F337B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63B6DEA8" w14:textId="41CDC2E1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7988BF4D" w14:textId="3629F520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0E1FD8DF" w14:textId="5C4DA41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7D6E81" w:rsidRPr="00593B47" w14:paraId="7366A644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0598377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00202 DJEČJI VRTIĆ "PAŠKI MALIŠANI"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5153E81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B0B9F46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7EA140D" w14:textId="7D608BF3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A100578" w14:textId="3C46BBE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3AEC920" w14:textId="44DEA97C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</w:tr>
      <w:tr w:rsidR="007D6E81" w:rsidRPr="00593B47" w14:paraId="6FD59449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4057025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Podglava 34821 DJEČJI VRTIĆ "PAŠKI MALIŠANI"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FAC1595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7C4BC50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17911F8" w14:textId="29B12931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CB326D1" w14:textId="0E420D36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FE503F4" w14:textId="31B3AD31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1.389.200,00</w:t>
            </w:r>
          </w:p>
        </w:tc>
      </w:tr>
      <w:tr w:rsidR="007D6E81" w:rsidRPr="00593B47" w14:paraId="414E6778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6FA69CE4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1300 PROVEDBA ZAKONSKOG STANDARDA U PREDŠKOLSTVU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5DDD814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AB75DD9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797F47F" w14:textId="043B7EC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B8B7B7C" w14:textId="369355DA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10D2B9A" w14:textId="4337E1C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</w:tr>
      <w:tr w:rsidR="00593B47" w:rsidRPr="00593B47" w14:paraId="0A79146F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7E44D18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A130001 Odgojno, administrativno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C6E7E25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5E9FEA1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CDA07E7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36E2992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43D9B3C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830.000,00</w:t>
            </w:r>
          </w:p>
        </w:tc>
      </w:tr>
      <w:tr w:rsidR="00593B47" w:rsidRPr="00593B47" w14:paraId="456B819D" w14:textId="77777777" w:rsidTr="007D6E81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2118C50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A130002 Redovna djelatnost ustanove predškolskog odgoja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640B66C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BA33384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EFC001C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49CEBA4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308D8A1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</w:tr>
    </w:tbl>
    <w:p w14:paraId="2CC07718" w14:textId="77777777" w:rsidR="004D2AA4" w:rsidRPr="00751C3A" w:rsidRDefault="004D2AA4" w:rsidP="004D2AA4">
      <w:pPr>
        <w:pStyle w:val="Tijeloteksta"/>
        <w:spacing w:after="0"/>
        <w:jc w:val="both"/>
      </w:pPr>
      <w:r w:rsidRPr="00751C3A">
        <w:t>Cilj: povećati dostupnost te osigurati kvalitetnije uvjete u provedbi odgojno- obrazovnog procesa u sustavu predškolskog i školskog programa</w:t>
      </w:r>
    </w:p>
    <w:p w14:paraId="6EA5AE28" w14:textId="77777777" w:rsidR="004D2AA4" w:rsidRPr="00751C3A" w:rsidRDefault="004D2AA4" w:rsidP="004D2AA4">
      <w:pPr>
        <w:pStyle w:val="Tijeloteksta"/>
        <w:spacing w:after="0"/>
        <w:jc w:val="both"/>
      </w:pPr>
      <w:r w:rsidRPr="00751C3A">
        <w:t>Pokazatelji: Rashodi za odgojno obrazovni sustav JLS, po stanovniku, broj polaznika</w:t>
      </w:r>
    </w:p>
    <w:p w14:paraId="65171796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4395"/>
        <w:gridCol w:w="266"/>
        <w:gridCol w:w="1712"/>
        <w:gridCol w:w="1132"/>
        <w:gridCol w:w="1113"/>
        <w:gridCol w:w="1152"/>
      </w:tblGrid>
      <w:tr w:rsidR="00593B47" w:rsidRPr="00593B47" w14:paraId="114D7369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0FF0B85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369B074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8A32265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56B29E0" w14:textId="63B341B3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B323E28" w14:textId="7D8970E6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1875ED3" w14:textId="1E469F43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7D6E81" w:rsidRPr="00593B47" w14:paraId="50355C81" w14:textId="77777777" w:rsidTr="00E44189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504CCF2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1302 POSLOVANJE FINANCIRANO IZ OSTALIH IZVORA PRIHODA KORISNIKA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4374CDC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88C71F4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EFC9C44" w14:textId="28F19859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C03DBDB" w14:textId="3E85D55A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B1643D6" w14:textId="2AB52C7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</w:tr>
      <w:tr w:rsidR="007D6E81" w:rsidRPr="00593B47" w14:paraId="739F162D" w14:textId="77777777" w:rsidTr="00874313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A2AB321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A130201 Redovna djelatnost ustanove predškolskog odgoja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326D2E7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375C08F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7690338" w14:textId="5EBBA328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2AD49F2" w14:textId="42266743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CFA9125" w14:textId="7BA506EC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319.200,00</w:t>
            </w:r>
          </w:p>
        </w:tc>
      </w:tr>
    </w:tbl>
    <w:p w14:paraId="14919268" w14:textId="77777777" w:rsidR="00391C43" w:rsidRPr="00751C3A" w:rsidRDefault="004D2AA4" w:rsidP="004D2AA4">
      <w:pPr>
        <w:pStyle w:val="Tijeloteksta"/>
        <w:spacing w:after="0"/>
        <w:jc w:val="both"/>
      </w:pPr>
      <w:r w:rsidRPr="00751C3A">
        <w:t>Cilj: povećati dostupnost te osigurati kvalitetnije uvjete u provedbi odgojno- obrazovnog procesa u sustavu predškolskog i školskog programa</w:t>
      </w:r>
    </w:p>
    <w:p w14:paraId="2FAA6CBC" w14:textId="77777777" w:rsidR="004D2AA4" w:rsidRPr="00751C3A" w:rsidRDefault="004D2AA4" w:rsidP="004D2AA4">
      <w:pPr>
        <w:pStyle w:val="Tijeloteksta"/>
        <w:spacing w:after="0"/>
        <w:jc w:val="both"/>
      </w:pPr>
      <w:r w:rsidRPr="00751C3A">
        <w:t>Pokazatelji: Rashodi za odgojno obrazovni sustav JLS, po stanovniku, broj polaznika</w:t>
      </w:r>
    </w:p>
    <w:p w14:paraId="381A30AE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72" w:type="dxa"/>
        <w:tblLook w:val="04A0" w:firstRow="1" w:lastRow="0" w:firstColumn="1" w:lastColumn="0" w:noHBand="0" w:noVBand="1"/>
      </w:tblPr>
      <w:tblGrid>
        <w:gridCol w:w="4395"/>
        <w:gridCol w:w="266"/>
        <w:gridCol w:w="1714"/>
        <w:gridCol w:w="1132"/>
        <w:gridCol w:w="1113"/>
        <w:gridCol w:w="1152"/>
      </w:tblGrid>
      <w:tr w:rsidR="00593B47" w:rsidRPr="00593B47" w14:paraId="0960EE59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29DFDC57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0C14BF7D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1302D5A3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6ECA7CAB" w14:textId="0D42AB5B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691D9DA3" w14:textId="126A01D1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30355740" w14:textId="7A73B3B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7D6E81" w:rsidRPr="00593B47" w14:paraId="28875EE0" w14:textId="77777777" w:rsidTr="00E16DB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5FE64DE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00204 GRADSKA KNJIŽNICA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B706E5E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346DE33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0C6FA09" w14:textId="19F34D4E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C72E4E5" w14:textId="059A3DBA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EC3CC75" w14:textId="49366DB5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</w:tr>
      <w:tr w:rsidR="007D6E81" w:rsidRPr="00593B47" w14:paraId="21F3D64B" w14:textId="77777777" w:rsidTr="00E16DB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6C4F7DF4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Podglava 42196 GRADSKA KNJIŽNICA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09FFDE4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4DBDE3B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1E96570" w14:textId="677CE43D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1E531A9" w14:textId="4A2C18A0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0AEEE2C" w14:textId="20863C8D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149.690,00</w:t>
            </w:r>
          </w:p>
        </w:tc>
      </w:tr>
      <w:tr w:rsidR="007D6E81" w:rsidRPr="00593B47" w14:paraId="01CF6DEF" w14:textId="77777777" w:rsidTr="00BF33F4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270B997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1400 PROVEDBA ZAKONSKOG STANDARDA U KULTURI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98C8E20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0354B47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7959A9E" w14:textId="6BA43590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108.380,00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1595F3D" w14:textId="60F68ED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108.380,00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CA78613" w14:textId="78D5116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108.380,00</w:t>
            </w:r>
          </w:p>
        </w:tc>
      </w:tr>
      <w:tr w:rsidR="007D6E81" w:rsidRPr="00593B47" w14:paraId="5976E7BD" w14:textId="77777777" w:rsidTr="00BF33F4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DB913F0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A140001 Stručno, administrativno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03E94D1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BDFCA00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355450E" w14:textId="3694821E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105.380,00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94708DE" w14:textId="00B2877B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105.380,00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52C243D" w14:textId="28FA3BE9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105.380,00</w:t>
            </w:r>
          </w:p>
        </w:tc>
      </w:tr>
      <w:tr w:rsidR="00593B47" w:rsidRPr="00593B47" w14:paraId="10B9AEC7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1A5249D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K140001 Nabava opreme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77A6489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6FE33E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86D8496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C8437C5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75C7321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93B47" w:rsidRPr="00593B47" w14:paraId="394F991D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E72D073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K140002 Knjižna građa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5B3A28B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76F955F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EC24669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E140F60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29E9890" w14:textId="77777777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</w:tbl>
    <w:p w14:paraId="769E7F0F" w14:textId="77777777" w:rsidR="00201DC9" w:rsidRPr="00751C3A" w:rsidRDefault="00391C43" w:rsidP="000369CB">
      <w:pPr>
        <w:pStyle w:val="Tijeloteksta"/>
        <w:spacing w:after="0"/>
        <w:jc w:val="both"/>
      </w:pPr>
      <w:r w:rsidRPr="00751C3A">
        <w:t>Cilj: Stručno i kontinuirano obavljanje knjižnične i nakladničke djelatnosti. Unapređenje rada kulturne ustanove (knjižnice) koja doprinosi kvaliteti kulturnog života građana, Zadovoljenje intelektualnih i kulturnih potreba građana i turista; Upoznavanje sugrađana s aktualnim tendencijama u književnosti i kulturi općenito; Upoznati širu javnost s lokalnom poviješću, socijalnim, kulturnim i književnim vrijednostima; Nabava knjižnične građe; Odgovarajuća tehnička opremljenost knjižnice; Djeci i mladima približiti knjižnični prostor kao mjesto privlačnih sadržaja; povećati samosvijest lokalne zajednice.</w:t>
      </w:r>
    </w:p>
    <w:p w14:paraId="397D48A7" w14:textId="77777777" w:rsidR="00201DC9" w:rsidRPr="00751C3A" w:rsidRDefault="00391C43" w:rsidP="000369CB">
      <w:pPr>
        <w:pStyle w:val="Tijeloteksta"/>
        <w:spacing w:after="0"/>
        <w:jc w:val="both"/>
      </w:pPr>
      <w:r w:rsidRPr="00751C3A">
        <w:t xml:space="preserve">Pokazatelji: </w:t>
      </w:r>
      <w:r w:rsidR="00434380" w:rsidRPr="00751C3A">
        <w:t>broj organiziranih manifestacija; broj članova knjižnice</w:t>
      </w:r>
    </w:p>
    <w:p w14:paraId="1658FF38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4395"/>
        <w:gridCol w:w="266"/>
        <w:gridCol w:w="1714"/>
        <w:gridCol w:w="1130"/>
        <w:gridCol w:w="1111"/>
        <w:gridCol w:w="1150"/>
      </w:tblGrid>
      <w:tr w:rsidR="00593B47" w:rsidRPr="00593B47" w14:paraId="249904A9" w14:textId="77777777" w:rsidTr="00593B4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BC66557" w14:textId="77777777" w:rsidR="00593B47" w:rsidRPr="00593B47" w:rsidRDefault="00593B47" w:rsidP="00593B4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52AC0A8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42D9EDC" w14:textId="77777777" w:rsidR="00593B47" w:rsidRPr="00593B47" w:rsidRDefault="00593B47" w:rsidP="0059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5342FBE" w14:textId="3C0F71C3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E187359" w14:textId="17405585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B0E09C1" w14:textId="7D6846CA" w:rsidR="00593B47" w:rsidRPr="00593B47" w:rsidRDefault="00593B47" w:rsidP="00593B4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7D6E81" w:rsidRPr="00593B47" w14:paraId="2EFC9A7D" w14:textId="77777777" w:rsidTr="00B0761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9283F23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1401 POSLOVANJE FINANCIRANO IZ OSTALIH IZVORA PRIHODA KORISNIKA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80AE035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4481777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CB8EB45" w14:textId="699E247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D26BB5D" w14:textId="406EA9FE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1EEBE05" w14:textId="6D5E0CE9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</w:tr>
      <w:tr w:rsidR="007D6E81" w:rsidRPr="00593B47" w14:paraId="2AB4827F" w14:textId="77777777" w:rsidTr="00B07617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BBF6AA1" w14:textId="77777777" w:rsidR="007D6E81" w:rsidRPr="00593B47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93B4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A140101 Sufinanciranje programa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96A6552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1BDFBE4" w14:textId="77777777" w:rsidR="007D6E81" w:rsidRPr="00593B47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93B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753264" w14:textId="56DFE8CA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B1B1AFF" w14:textId="7DDBD6F3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E754FF" w14:textId="1C649178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41.310,00</w:t>
            </w:r>
          </w:p>
        </w:tc>
      </w:tr>
    </w:tbl>
    <w:p w14:paraId="2282A0B9" w14:textId="77777777" w:rsidR="00434380" w:rsidRPr="00751C3A" w:rsidRDefault="00434380" w:rsidP="00434380">
      <w:pPr>
        <w:pStyle w:val="Tijeloteksta"/>
        <w:spacing w:after="0"/>
        <w:jc w:val="both"/>
      </w:pPr>
      <w:r w:rsidRPr="00751C3A">
        <w:t>Cilj: Stručno i kontinuirano obavljanje knjižnične i nakladničke djelatnosti. Unapređenje rada kulturne ustanove (knjižnice) koja doprinosi kvaliteti kulturnog života građana, Zadovoljenje intelektualnih i kulturnih potreba građana i turista; Upoznavanje sugrađana s aktualnim tendencijama u književnosti i kulturi općenito; Upoznati širu javnost s lokalnom poviješću, socijalnim, kulturnim i književnim vrijednostima; Nabava knjižnične građe; Odgovarajuća tehnička opremljenost knjižnice; Djeci i mladima približiti knjižnični prostor kao mjesto privlačnih sadržaja; povećati samosvijest lokalne zajednice.</w:t>
      </w:r>
    </w:p>
    <w:p w14:paraId="085C8D83" w14:textId="77777777" w:rsidR="00434380" w:rsidRPr="00751C3A" w:rsidRDefault="00434380" w:rsidP="00434380">
      <w:pPr>
        <w:pStyle w:val="Tijeloteksta"/>
        <w:spacing w:after="0"/>
        <w:jc w:val="both"/>
      </w:pPr>
      <w:r w:rsidRPr="00751C3A">
        <w:t>Pokazatelji: broj organiziranih manifestacija; broj članova knjižnice</w:t>
      </w:r>
    </w:p>
    <w:p w14:paraId="61AD85D2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4356"/>
        <w:gridCol w:w="266"/>
        <w:gridCol w:w="1694"/>
        <w:gridCol w:w="1151"/>
        <w:gridCol w:w="1151"/>
        <w:gridCol w:w="1152"/>
      </w:tblGrid>
      <w:tr w:rsidR="00CB35C8" w:rsidRPr="00CB35C8" w14:paraId="3973B65A" w14:textId="77777777" w:rsidTr="007D6E81">
        <w:trPr>
          <w:trHeight w:val="25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0E27F119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2D58FB97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</w:tcPr>
          <w:p w14:paraId="49B8897A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477EDAF2" w14:textId="10562DE2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68A256A5" w14:textId="6C2DCDA6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</w:tcPr>
          <w:p w14:paraId="36E2E4E3" w14:textId="47DF5FAA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7D6E81" w:rsidRPr="00CB35C8" w14:paraId="2312A8E0" w14:textId="77777777" w:rsidTr="007D6E81">
        <w:trPr>
          <w:trHeight w:val="25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83410C6" w14:textId="77777777" w:rsidR="007D6E81" w:rsidRPr="00CB35C8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00205 JAVNA VATROGASNA POSTROJBA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0744429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767B6A2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0D6213F" w14:textId="75D21760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1C630CD" w14:textId="4992C339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B4AE3D2" w14:textId="3B0DCEBB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</w:tr>
      <w:tr w:rsidR="007D6E81" w:rsidRPr="00CB35C8" w14:paraId="056AEEE2" w14:textId="77777777" w:rsidTr="007D6E81">
        <w:trPr>
          <w:trHeight w:val="25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DE55056" w14:textId="77777777" w:rsidR="007D6E81" w:rsidRPr="00CB35C8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Podglava 50952 JAVNA VATROGASNA POSTROJBA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147C2DC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90B11F4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8BC9D49" w14:textId="4752C969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6EAECD5" w14:textId="4579C55A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D8C9633" w14:textId="4A9D2347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1.134.062,00</w:t>
            </w:r>
          </w:p>
        </w:tc>
      </w:tr>
      <w:tr w:rsidR="007D6E81" w:rsidRPr="00CB35C8" w14:paraId="4C360433" w14:textId="77777777" w:rsidTr="007D6E81">
        <w:trPr>
          <w:trHeight w:val="25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725B0B19" w14:textId="77777777" w:rsidR="007D6E81" w:rsidRPr="00CB35C8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1800 Redovna djelatnost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9C5A45C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E3F3504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9E19AE3" w14:textId="4FE76870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EFFFEC2" w14:textId="0955189B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DDD41E7" w14:textId="58C03AC8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</w:tr>
      <w:tr w:rsidR="007D6E81" w:rsidRPr="00CB35C8" w14:paraId="4DCC4B19" w14:textId="77777777" w:rsidTr="007D6E81">
        <w:trPr>
          <w:trHeight w:val="25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F4BE4BB" w14:textId="77777777" w:rsidR="007D6E81" w:rsidRPr="00CB35C8" w:rsidRDefault="007D6E81" w:rsidP="007D6E81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A180001 Redovna djelatnost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92A95C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E77F693" w14:textId="77777777" w:rsidR="007D6E81" w:rsidRPr="00CB35C8" w:rsidRDefault="007D6E81" w:rsidP="007D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B3B6289" w14:textId="339CB931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3FE270" w14:textId="2F2D583D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DE8CCC" w14:textId="60A6C2CF" w:rsidR="007D6E81" w:rsidRPr="007D6E81" w:rsidRDefault="007D6E81" w:rsidP="007D6E81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D6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268.207,00</w:t>
            </w:r>
          </w:p>
        </w:tc>
      </w:tr>
    </w:tbl>
    <w:p w14:paraId="437ECD1E" w14:textId="77777777" w:rsidR="00201DC9" w:rsidRPr="00751C3A" w:rsidRDefault="00434380" w:rsidP="000369CB">
      <w:pPr>
        <w:pStyle w:val="Tijeloteksta"/>
        <w:spacing w:after="0"/>
        <w:jc w:val="both"/>
      </w:pPr>
      <w:r w:rsidRPr="00751C3A">
        <w:t>Cilj: Uređenje, planiranje, organiziranje, financiranje i provedba sustava vatrogastva, skrb o potrebama i interesima građana za organiziranjem i djelovanjem učinkovite vatrogasne službe, provedba mjera zaštite od požara.</w:t>
      </w:r>
    </w:p>
    <w:p w14:paraId="728FCD8A" w14:textId="77777777" w:rsidR="00201DC9" w:rsidRPr="00751C3A" w:rsidRDefault="00434380" w:rsidP="000369CB">
      <w:pPr>
        <w:pStyle w:val="Tijeloteksta"/>
        <w:spacing w:after="0"/>
        <w:jc w:val="both"/>
      </w:pPr>
      <w:r w:rsidRPr="00751C3A">
        <w:t>Pokazatelji: Broj intervencija u tekućoj godini, rad na prevenciji, opremanje postrojbi osobnom zaštitnom opremom, nedostajućom tehnikom, alatima i drugo.</w:t>
      </w:r>
    </w:p>
    <w:p w14:paraId="11CD1894" w14:textId="77777777" w:rsidR="00201DC9" w:rsidRDefault="00201DC9" w:rsidP="000369CB">
      <w:pPr>
        <w:pStyle w:val="Tijeloteksta"/>
        <w:spacing w:after="0"/>
        <w:jc w:val="both"/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4395"/>
        <w:gridCol w:w="266"/>
        <w:gridCol w:w="1715"/>
        <w:gridCol w:w="1132"/>
        <w:gridCol w:w="1114"/>
        <w:gridCol w:w="1152"/>
      </w:tblGrid>
      <w:tr w:rsidR="00CB35C8" w:rsidRPr="00CB35C8" w14:paraId="06A857C9" w14:textId="77777777" w:rsidTr="00CB35C8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D653983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F5C494F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27512B2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05B1CF1" w14:textId="405F6B55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2722112" w14:textId="11AD6500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F6B6902" w14:textId="14398902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7D6E81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173ABB" w:rsidRPr="00CB35C8" w14:paraId="64A5358D" w14:textId="77777777" w:rsidTr="00B537FA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560AE9C4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1801 Financiranje iznad standarda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BB6F292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484BA3C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2E9588D" w14:textId="473E6168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CF70160" w14:textId="0B02B07F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AFC85C9" w14:textId="1BFDDD45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</w:tr>
      <w:tr w:rsidR="00173ABB" w:rsidRPr="00CB35C8" w14:paraId="51B2124A" w14:textId="77777777" w:rsidTr="00B537FA">
        <w:trPr>
          <w:trHeight w:val="25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10451A4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A180101 Financiranje iznad standarda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DBCDE3E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A6A5F3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1392250" w14:textId="2AF5D073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E61208" w14:textId="518CB266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04E94E0" w14:textId="55E24409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865.855,00</w:t>
            </w:r>
          </w:p>
        </w:tc>
      </w:tr>
    </w:tbl>
    <w:p w14:paraId="0F5FE733" w14:textId="77777777" w:rsidR="00434380" w:rsidRPr="00751C3A" w:rsidRDefault="00434380" w:rsidP="00434380">
      <w:pPr>
        <w:pStyle w:val="Tijeloteksta"/>
        <w:spacing w:after="0"/>
        <w:jc w:val="both"/>
      </w:pPr>
      <w:r w:rsidRPr="00751C3A">
        <w:t>Cilj: Uređenje, planiranje, organiziranje, financiranje i provedba sustava vatrogastva, skrb o potrebama i interesima građana za organiziranjem i djelovanjem učinkovite vatrogasne službe, provedba mjera zaštite od požara.</w:t>
      </w:r>
    </w:p>
    <w:p w14:paraId="6D3544B9" w14:textId="77777777" w:rsidR="00434380" w:rsidRPr="00751C3A" w:rsidRDefault="00434380" w:rsidP="00434380">
      <w:pPr>
        <w:pStyle w:val="Tijeloteksta"/>
        <w:spacing w:after="0"/>
        <w:jc w:val="both"/>
      </w:pPr>
      <w:r w:rsidRPr="00751C3A">
        <w:t>Pokazatelji: Broj intervencija u tekućoj godini, rad na prevenciji, opremanje postrojbi osobnom zaštitnom opremom, nedostajućom tehnikom, alatima i drugo.</w:t>
      </w:r>
    </w:p>
    <w:p w14:paraId="2F9A6C10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361"/>
        <w:gridCol w:w="266"/>
        <w:gridCol w:w="1695"/>
        <w:gridCol w:w="1151"/>
        <w:gridCol w:w="1151"/>
        <w:gridCol w:w="1155"/>
      </w:tblGrid>
      <w:tr w:rsidR="00CB35C8" w:rsidRPr="00CB35C8" w14:paraId="0EF902D7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498CC55C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387C2533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0DABFA02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19A2E875" w14:textId="434A9BF6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19BCA028" w14:textId="6E115CC0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7458D53A" w14:textId="08BCA258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173ABB" w:rsidRPr="00CB35C8" w14:paraId="18A35AC8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  <w:hideMark/>
          </w:tcPr>
          <w:p w14:paraId="303CB484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Razdjel 003 UPRAVNI ODJEL ZA PRORAČUN I FINANCIJE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23E5F84F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4873A5B2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17A883F2" w14:textId="674BDA62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2.394.300,00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36DA8C11" w14:textId="4E08634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2.743.100,00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793C4802" w14:textId="54FC00CC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1.143.100,00</w:t>
            </w:r>
          </w:p>
        </w:tc>
      </w:tr>
      <w:tr w:rsidR="00173ABB" w:rsidRPr="00CB35C8" w14:paraId="0738F93B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DDE6D6B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00301 UPRAVNI ODJEL ZA PRORAČUN I FINANCIJE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91875A4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A65F143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3E58BA0" w14:textId="34755B44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2.394.300,00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82A75BA" w14:textId="1569F107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2.743.100,00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FF36366" w14:textId="5079610C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1.143.100,00</w:t>
            </w:r>
          </w:p>
        </w:tc>
      </w:tr>
      <w:tr w:rsidR="00173ABB" w:rsidRPr="00CB35C8" w14:paraId="596A75CB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FBDF040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1500 PRIPREMA I DONOŠENJE AKATA IZ DJELOKRUGA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4B69A59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C4C0CAC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C8EC8C5" w14:textId="1F728824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CB926CC" w14:textId="5BBB69A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6125C45" w14:textId="64ACF8FD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</w:tr>
      <w:tr w:rsidR="00173ABB" w:rsidRPr="00CB35C8" w14:paraId="2ABCAAFC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435C576" w14:textId="264D9C2D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A150001 Stručno, administrat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i</w:t>
            </w: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DE51C1A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9740249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28899A3" w14:textId="51586E09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7AEA5D" w14:textId="45501EC2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F7DDE0E" w14:textId="242A58F7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399.500,00</w:t>
            </w:r>
          </w:p>
        </w:tc>
      </w:tr>
    </w:tbl>
    <w:p w14:paraId="5CE19FF9" w14:textId="77777777" w:rsidR="00465975" w:rsidRPr="00751C3A" w:rsidRDefault="00AC0B0F" w:rsidP="000369CB">
      <w:pPr>
        <w:pStyle w:val="Tijeloteksta"/>
        <w:spacing w:after="0"/>
        <w:jc w:val="both"/>
      </w:pPr>
      <w:r w:rsidRPr="00751C3A">
        <w:t>Cilj: izrada proračuna, praćenje izvršavanja proračuna, vođenje proračunskog računovodstva te osiguravanje uvjeta za redoviti i nesmetani rad upravnih tijela Grada.</w:t>
      </w:r>
    </w:p>
    <w:p w14:paraId="56C2F563" w14:textId="77777777" w:rsidR="00AC0B0F" w:rsidRDefault="00AC0B0F" w:rsidP="000369CB">
      <w:pPr>
        <w:pStyle w:val="Tijeloteksta"/>
        <w:spacing w:after="0"/>
        <w:jc w:val="both"/>
      </w:pPr>
      <w:r w:rsidRPr="00751C3A">
        <w:t>Pokazatelji: osigurana likvidnost proračuna, izvršavanje rashoda proračuna u skladu s usvojenim proračunskim stavkama te osiguravanje uvjeta za redoviti i nesmetani rad upravnih tijela Grada</w:t>
      </w:r>
    </w:p>
    <w:p w14:paraId="09C05F26" w14:textId="77777777" w:rsidR="00173ABB" w:rsidRDefault="00173ABB" w:rsidP="000369CB">
      <w:pPr>
        <w:pStyle w:val="Tijeloteksta"/>
        <w:spacing w:after="0"/>
        <w:jc w:val="both"/>
      </w:pPr>
    </w:p>
    <w:p w14:paraId="3AE0A49B" w14:textId="77777777" w:rsidR="00173ABB" w:rsidRDefault="00173ABB" w:rsidP="000369CB">
      <w:pPr>
        <w:pStyle w:val="Tijeloteksta"/>
        <w:spacing w:after="0"/>
        <w:jc w:val="both"/>
      </w:pPr>
    </w:p>
    <w:p w14:paraId="3F7E23CA" w14:textId="77777777" w:rsidR="00173ABB" w:rsidRPr="00751C3A" w:rsidRDefault="00173ABB" w:rsidP="000369CB">
      <w:pPr>
        <w:pStyle w:val="Tijeloteksta"/>
        <w:spacing w:after="0"/>
        <w:jc w:val="both"/>
      </w:pPr>
    </w:p>
    <w:p w14:paraId="104CC051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361"/>
        <w:gridCol w:w="266"/>
        <w:gridCol w:w="1700"/>
        <w:gridCol w:w="1151"/>
        <w:gridCol w:w="1151"/>
        <w:gridCol w:w="1151"/>
      </w:tblGrid>
      <w:tr w:rsidR="00CB35C8" w:rsidRPr="00CB35C8" w14:paraId="078196BE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20A166A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80A946E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48ED3B71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00E4514" w14:textId="303CF6A1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E7CE0BD" w14:textId="6013E0B4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7C68FA6" w14:textId="2041546F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173ABB" w:rsidRPr="00CB35C8" w14:paraId="4D516B0B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06F7F21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1501 OSTALI RASHODI VEZANI UZ FINANCIJE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06CEB02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D807349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3D37CE8" w14:textId="3A76085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1.994.800,00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36B8B66" w14:textId="5D8F7083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2.343.600,00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FCFADF5" w14:textId="34722183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743.600,00</w:t>
            </w:r>
          </w:p>
        </w:tc>
      </w:tr>
      <w:tr w:rsidR="00CB35C8" w:rsidRPr="00CB35C8" w14:paraId="064252E6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7845312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A150101 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A73BDB8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5421011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26F15F2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AA9C07B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D49E0D0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50.100,00</w:t>
            </w:r>
          </w:p>
        </w:tc>
      </w:tr>
      <w:tr w:rsidR="00CB35C8" w:rsidRPr="00CB35C8" w14:paraId="3756C368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F8E9EC2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A150102 Premije osiguranja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6D492D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49D0EE0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85084D0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403E672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4AC76D0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22.500,00</w:t>
            </w:r>
          </w:p>
        </w:tc>
      </w:tr>
      <w:tr w:rsidR="00CB35C8" w:rsidRPr="00CB35C8" w14:paraId="339B0F90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934F51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A150103 Članarine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56846F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235E09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DDB2C39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C3C864F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8F96B6E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73ABB" w:rsidRPr="00CB35C8" w14:paraId="7D080E70" w14:textId="77777777" w:rsidTr="00173ABB">
        <w:trPr>
          <w:trHeight w:val="25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EB0CE6B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A150106 Otplata kredita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FEBC72C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344B6D4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26C6AC" w14:textId="0531146D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1.917.200,00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A07E4B" w14:textId="005856E8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819B380" w14:textId="2AD248D8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666.000,00</w:t>
            </w:r>
          </w:p>
        </w:tc>
      </w:tr>
    </w:tbl>
    <w:p w14:paraId="37A2F032" w14:textId="77777777" w:rsidR="00465975" w:rsidRPr="00751C3A" w:rsidRDefault="00434380" w:rsidP="000369CB">
      <w:pPr>
        <w:pStyle w:val="Tijeloteksta"/>
        <w:spacing w:after="0"/>
        <w:jc w:val="both"/>
      </w:pPr>
      <w:r w:rsidRPr="00751C3A">
        <w:t>Cilj: pravovremeno izvršavanje poslova vezano uz realizaciju otplate kredita i zajmova; pravovremeno obavljanje poslova vezano uz osiguranje imovine i objekata Grada</w:t>
      </w:r>
    </w:p>
    <w:p w14:paraId="60F91136" w14:textId="652FDD43" w:rsidR="00CB35C8" w:rsidRDefault="00434380" w:rsidP="000369CB">
      <w:pPr>
        <w:pStyle w:val="Tijeloteksta"/>
        <w:spacing w:after="0"/>
        <w:jc w:val="both"/>
      </w:pPr>
      <w:r w:rsidRPr="00751C3A">
        <w:t xml:space="preserve">Pokazatelji: </w:t>
      </w:r>
      <w:r w:rsidR="005A38AD" w:rsidRPr="00751C3A">
        <w:t>broj polica osiguranja; iznos otplate kredita</w:t>
      </w:r>
    </w:p>
    <w:p w14:paraId="43CEA6D4" w14:textId="77777777" w:rsidR="00CB35C8" w:rsidRDefault="00CB35C8" w:rsidP="000369CB">
      <w:pPr>
        <w:pStyle w:val="Tijeloteksta"/>
        <w:spacing w:after="0"/>
        <w:jc w:val="both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4501"/>
        <w:gridCol w:w="266"/>
        <w:gridCol w:w="1696"/>
        <w:gridCol w:w="1151"/>
        <w:gridCol w:w="1151"/>
        <w:gridCol w:w="1155"/>
      </w:tblGrid>
      <w:tr w:rsidR="00CB35C8" w:rsidRPr="00CB35C8" w14:paraId="5634BFF6" w14:textId="77777777" w:rsidTr="00173AB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2B16AC9D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1FE8BF94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3F0A619D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0C4F9D81" w14:textId="4729C798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655A0CB1" w14:textId="7398B65B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4AA5D04C" w14:textId="33B3B3A8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173ABB" w:rsidRPr="00CB35C8" w14:paraId="6CBF3AE7" w14:textId="77777777" w:rsidTr="00173AB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  <w:hideMark/>
          </w:tcPr>
          <w:p w14:paraId="7A9F8753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Razdjel 004 UPRAVNI ODJEL ZA KOMUNALNI SUSTAV I IMOVINSKO PRAVNE POSLOVE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5517780F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0065A980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57244301" w14:textId="57513DEC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252B5D5A" w14:textId="33C1A99D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0BA8FB59" w14:textId="0EF6F0E4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</w:tr>
      <w:tr w:rsidR="00173ABB" w:rsidRPr="00CB35C8" w14:paraId="23CBFE6B" w14:textId="77777777" w:rsidTr="00173AB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F43AB3F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00401 UPRAVNI ODJEL ZA KOMUNALNI SUSTAV I IMOVINSKO PREAVNE POSLOVE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20D8F7D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D469523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7D43AAD" w14:textId="0ED23BC3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3DBEC52" w14:textId="10935D3F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705C7BA" w14:textId="6F8CE6ED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3.242.898,00</w:t>
            </w:r>
          </w:p>
        </w:tc>
      </w:tr>
      <w:tr w:rsidR="00173ABB" w:rsidRPr="00CB35C8" w14:paraId="3DEC30EF" w14:textId="77777777" w:rsidTr="00173AB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63EC0C29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1600 PRIPREMA I DONOŠENJE AKATA IZ DJELOKRUGA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19B710F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34D496D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706D9E6" w14:textId="01B73B3F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701.850,00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CE23DC5" w14:textId="5D43C6FB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701.850,00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E689A16" w14:textId="771B2CB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701.850,00</w:t>
            </w:r>
          </w:p>
        </w:tc>
      </w:tr>
      <w:tr w:rsidR="00173ABB" w:rsidRPr="00CB35C8" w14:paraId="68EAEFB2" w14:textId="77777777" w:rsidTr="00173ABB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91E0CE1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A160001 Stručno, administrativno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E0D53B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C60E278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BDCEB9D" w14:textId="73257EB5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325.750,00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547B90F" w14:textId="03597669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325.750,00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B9331D1" w14:textId="64D5C3D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325.750,00</w:t>
            </w:r>
          </w:p>
        </w:tc>
      </w:tr>
      <w:tr w:rsidR="00173ABB" w:rsidRPr="00CB35C8" w14:paraId="46DEA5FE" w14:textId="77777777" w:rsidTr="00A816C4">
        <w:trPr>
          <w:trHeight w:val="25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7FA7887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A160002 Odvjetničke i duge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EEE85FE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F974EE5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ABA7725" w14:textId="1751EA0F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376.100,00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E7972A7" w14:textId="08913A46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376.100,00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4302A97" w14:textId="1BEDABF2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376.100,00</w:t>
            </w:r>
          </w:p>
        </w:tc>
      </w:tr>
    </w:tbl>
    <w:p w14:paraId="6BA9BD91" w14:textId="77777777" w:rsidR="007C10C4" w:rsidRPr="00751C3A" w:rsidRDefault="007C10C4" w:rsidP="007C10C4">
      <w:pPr>
        <w:pStyle w:val="Tijeloteksta"/>
        <w:spacing w:after="0"/>
        <w:jc w:val="both"/>
      </w:pPr>
      <w:r w:rsidRPr="00751C3A">
        <w:t>Cilj: Osiguravanje nesmetanog obavljanja poslova kroz optimalni broj djelatnika gradske uprave radi zadovoljavanja potreba građana u okviru zakonom utvrđenih zadaća JLS. Provođenje politike plaća i drugih materijalnih prava zaposlenika u skladu s proračunskim mogućnostima te osiguravanje sredstava za nesmetano obavljanje upravnih, stručnih, administrativnih i ostalih poslova Odjela.</w:t>
      </w:r>
    </w:p>
    <w:p w14:paraId="69DA5BC9" w14:textId="77777777" w:rsidR="007C10C4" w:rsidRPr="00751C3A" w:rsidRDefault="007C10C4" w:rsidP="007C10C4">
      <w:pPr>
        <w:pStyle w:val="Tijeloteksta"/>
        <w:spacing w:after="0"/>
        <w:jc w:val="both"/>
      </w:pPr>
      <w:r w:rsidRPr="00751C3A">
        <w:t>Pokazatelji: Ispunjavanje zakonskih obveza i obveza iz Pravilnika o radu, ispunjavanje obveza po posebnim propisima, redovito i nesmetano odvijanje procesa rada upravnih tijela Grada</w:t>
      </w:r>
    </w:p>
    <w:p w14:paraId="79002561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4503"/>
        <w:gridCol w:w="266"/>
        <w:gridCol w:w="1691"/>
        <w:gridCol w:w="1151"/>
        <w:gridCol w:w="1151"/>
        <w:gridCol w:w="1155"/>
      </w:tblGrid>
      <w:tr w:rsidR="00CB35C8" w:rsidRPr="00CB35C8" w14:paraId="6735FB5E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7639978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3037AC4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478999CE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4DE3D32" w14:textId="3E32806B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CDE53F8" w14:textId="5B1F5FE2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84842C2" w14:textId="041A330F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173AB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173ABB" w:rsidRPr="00CB35C8" w14:paraId="3DABA893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3248D71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1601 ODRŽAVANJE OBJEKATA I UREĐAJA KOMUNALNE INFRASTRUKTURE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C52F599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5A4EEB6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36686F8" w14:textId="7DEFC6D9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1.600.340,00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F54C38B" w14:textId="594DBA0D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1.600.340,00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1DE7141" w14:textId="6B4867C5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1.600.340,00</w:t>
            </w:r>
          </w:p>
        </w:tc>
      </w:tr>
      <w:tr w:rsidR="00173ABB" w:rsidRPr="00CB35C8" w14:paraId="4F229DB1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D6EE0B2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A160101 Održavanje parkova i zelenih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AF0FF1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4034D04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DAE82B3" w14:textId="51BA4D43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AD8C440" w14:textId="01FFD804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8EDA011" w14:textId="03E238EF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167.000,00</w:t>
            </w:r>
          </w:p>
        </w:tc>
      </w:tr>
      <w:tr w:rsidR="00173ABB" w:rsidRPr="00CB35C8" w14:paraId="56FB115E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E087054" w14:textId="77777777" w:rsidR="00173ABB" w:rsidRPr="00CB35C8" w:rsidRDefault="00173ABB" w:rsidP="00173ABB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A160102 Održavanje i uređenje javnih površina (svi Mjesni odbori)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4CA4F56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5263CC" w14:textId="77777777" w:rsidR="00173ABB" w:rsidRPr="00CB35C8" w:rsidRDefault="00173ABB" w:rsidP="00173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3CB3C82" w14:textId="66E31EE0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420.040,00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6DD384B" w14:textId="39D5F3EA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420.040,00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FC58137" w14:textId="4391798C" w:rsidR="00173ABB" w:rsidRPr="00173ABB" w:rsidRDefault="00173ABB" w:rsidP="00173ABB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1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420.040,00</w:t>
            </w:r>
          </w:p>
        </w:tc>
      </w:tr>
      <w:tr w:rsidR="00275CB8" w:rsidRPr="00CB35C8" w14:paraId="3CA91B13" w14:textId="77777777" w:rsidTr="00313EA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8D61CAF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A160103 Održavanje i uređenje javnih površina - odvodni kanali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9176819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01711C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5CF379" w14:textId="710BD57B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4F53A8F" w14:textId="054039D8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ED42C02" w14:textId="3914208E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275CB8" w:rsidRPr="00CB35C8" w14:paraId="34DB35FE" w14:textId="77777777" w:rsidTr="003A5D7D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E807348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A160104 Održavanje i uređenje javnih površina - dekoracija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D360A7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82FDC28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F1DBD2D" w14:textId="621B17CB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2EF4E99" w14:textId="17D1FB3A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A728F5" w14:textId="1D709918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275CB8" w:rsidRPr="00CB35C8" w14:paraId="5F65A25C" w14:textId="77777777" w:rsidTr="00B006ED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8B315D5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A160105 Održavanje nerazvrstanih cesta - stočarski putovi i protupožarni prolazi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9596DEF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6DB56B2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799C195" w14:textId="08D8AD5E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0A43F94" w14:textId="687DBD97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827F16C" w14:textId="21C48329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B35C8" w:rsidRPr="00CB35C8" w14:paraId="3120216E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912935D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A160106 Održavanje i uređenje javne površine - plaže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8AC3EDC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2F4633A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48F71BA" w14:textId="77777777" w:rsidR="00CB35C8" w:rsidRPr="00275CB8" w:rsidRDefault="00CB35C8" w:rsidP="00CB35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E0AB53F" w14:textId="77777777" w:rsidR="00CB35C8" w:rsidRPr="00275CB8" w:rsidRDefault="00CB35C8" w:rsidP="00CB35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BD8396E" w14:textId="77777777" w:rsidR="00CB35C8" w:rsidRPr="00275CB8" w:rsidRDefault="00CB35C8" w:rsidP="00CB35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275CB8" w:rsidRPr="00CB35C8" w14:paraId="07FBF207" w14:textId="77777777" w:rsidTr="00110A50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8AF452A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A160107 Održavanje čistoće javnih površina - čišćenje i pometanje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6FD2BAF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81A0BB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CFFFCB3" w14:textId="18CD1917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38E45E8" w14:textId="6563FCBE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1C97E4" w14:textId="0D11A8A4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</w:tr>
      <w:tr w:rsidR="00275CB8" w:rsidRPr="00CB35C8" w14:paraId="4A1FC9BE" w14:textId="77777777" w:rsidTr="00E7695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780B51B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A160108 Održavanje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FB0C059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ACFF39E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6C1D3B6" w14:textId="31A56AD0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E3A263" w14:textId="32FD2BF6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BD9B5C9" w14:textId="6324A8D0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159.000,00</w:t>
            </w:r>
          </w:p>
        </w:tc>
      </w:tr>
      <w:tr w:rsidR="00CB35C8" w:rsidRPr="00CB35C8" w14:paraId="0BE0843B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08B632D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A160109 Energetska usluga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E68976E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8627E2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EB4E989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D6FFDD7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C6A0F79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48.000,00</w:t>
            </w:r>
          </w:p>
        </w:tc>
      </w:tr>
      <w:tr w:rsidR="00CB35C8" w:rsidRPr="00CB35C8" w14:paraId="7E22284C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F3D74DF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A160110 Postavljanje ormara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3B953A6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7CAC977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99FC2FA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107EE7A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8548940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275CB8" w:rsidRPr="00CB35C8" w14:paraId="201BA97F" w14:textId="77777777" w:rsidTr="00C11E7C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F70F9D2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A160111 Električna energija za javnu rasvjetu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2CE434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13B5C8E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D5AA03B" w14:textId="7613226C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C1DFCF" w14:textId="7E300FA7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0B3E316" w14:textId="5D100D6A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275CB8" w:rsidRPr="00CB35C8" w14:paraId="1672EDE3" w14:textId="77777777" w:rsidTr="008F2B2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0423331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A160112 Održavanje nerazvrstanih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6B2D8A2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62DA606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04738F4" w14:textId="225913F8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60BD62" w14:textId="4EAB1CAE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316.000,00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54E4327" w14:textId="3BD5F45A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316.000,00</w:t>
            </w:r>
          </w:p>
        </w:tc>
      </w:tr>
      <w:tr w:rsidR="00CB35C8" w:rsidRPr="00CB35C8" w14:paraId="6224E993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21CD237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A160113 Održavanje pješačkih staza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6B95D06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328F3E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EADEBC1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13A27B9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F12DFEB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34.000,00</w:t>
            </w:r>
          </w:p>
        </w:tc>
      </w:tr>
      <w:tr w:rsidR="00275CB8" w:rsidRPr="00CB35C8" w14:paraId="27C5B987" w14:textId="77777777" w:rsidTr="00173ABB">
        <w:trPr>
          <w:trHeight w:val="2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42617FCA" w14:textId="45477F34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A16011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</w:t>
            </w: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Održavanje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1704E70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C7DE14D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44390CCE" w14:textId="5EC324B4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5BAD1FC3" w14:textId="55E21D4F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1BA86F62" w14:textId="7568EE53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</w:tbl>
    <w:p w14:paraId="2D7B6D5A" w14:textId="77777777" w:rsidR="0058629D" w:rsidRPr="00751C3A" w:rsidRDefault="007C10C4" w:rsidP="000369CB">
      <w:pPr>
        <w:pStyle w:val="Tijeloteksta"/>
        <w:spacing w:after="0"/>
        <w:jc w:val="both"/>
      </w:pPr>
      <w:r w:rsidRPr="00751C3A">
        <w:t xml:space="preserve">Cilj: </w:t>
      </w:r>
      <w:r w:rsidR="0058629D" w:rsidRPr="00751C3A">
        <w:t>Razvoj zelene infrastrukture, biciklističkih staza i šetnica nužan je aspekt turističke ponude Grada koji omogućuje razvoj aktivnog, outdoor, turizma te promovira Grad Pag kao ciklo-</w:t>
      </w:r>
      <w:r w:rsidR="0058629D" w:rsidRPr="00751C3A">
        <w:lastRenderedPageBreak/>
        <w:t>turističku destinaciju. Uz to, izgradnja infrastrukture potiče aktivan i zdrav životni stil građana Grada Paga. Mjera se također odnosi i na primjerenu zaštitu prirodne baštine i okoliša.</w:t>
      </w:r>
    </w:p>
    <w:p w14:paraId="731EE5CA" w14:textId="77777777" w:rsidR="00465975" w:rsidRPr="00751C3A" w:rsidRDefault="007C10C4" w:rsidP="000369CB">
      <w:pPr>
        <w:pStyle w:val="Tijeloteksta"/>
        <w:spacing w:after="0"/>
        <w:jc w:val="both"/>
      </w:pPr>
      <w:r w:rsidRPr="00751C3A">
        <w:t xml:space="preserve">Pokazatelji: </w:t>
      </w:r>
      <w:r w:rsidR="0058629D" w:rsidRPr="00751C3A">
        <w:t>Poboljšanje uvjeta i organizacije cestovnog prometa i prometa u mirovanju te unaprjeđenje prometne infrastrukture</w:t>
      </w:r>
    </w:p>
    <w:p w14:paraId="03627D42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4536"/>
        <w:gridCol w:w="266"/>
        <w:gridCol w:w="1715"/>
        <w:gridCol w:w="1132"/>
        <w:gridCol w:w="1114"/>
        <w:gridCol w:w="1152"/>
      </w:tblGrid>
      <w:tr w:rsidR="00CB35C8" w:rsidRPr="00CB35C8" w14:paraId="587049CA" w14:textId="77777777" w:rsidTr="00CB35C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CE091B7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E42DAD1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5D16CC1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E45E016" w14:textId="72B7E6BD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75CB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9B279C4" w14:textId="08A31D3F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75CB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EF642DF" w14:textId="120FC4EF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75CB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275CB8" w:rsidRPr="00CB35C8" w14:paraId="1E837314" w14:textId="77777777" w:rsidTr="00EC5A24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5E4F06F6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1603 UREĐENJE STANJA U PROSTORU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8CAE954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B660CD0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55066479" w14:textId="415EC5DD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hideMark/>
          </w:tcPr>
          <w:p w14:paraId="714958C9" w14:textId="012D68EA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714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645.500,00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hideMark/>
          </w:tcPr>
          <w:p w14:paraId="25E00744" w14:textId="1E19F60C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714B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645.500,00</w:t>
            </w:r>
          </w:p>
        </w:tc>
      </w:tr>
      <w:tr w:rsidR="00CB35C8" w:rsidRPr="00CB35C8" w14:paraId="1E369E2F" w14:textId="77777777" w:rsidTr="00CB35C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3E282A9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Tekući projekt T160301 Geodetsko - katastarske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3BB504F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404A20C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0C95472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B941BA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C1B4BC5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34.500,00</w:t>
            </w:r>
          </w:p>
        </w:tc>
      </w:tr>
      <w:tr w:rsidR="00275CB8" w:rsidRPr="00CB35C8" w14:paraId="2A211D0A" w14:textId="77777777" w:rsidTr="006F214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05F2DD8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Tekući projekt T160302 Izmjera i evidentiranje objekata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E6E76DC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ED2A305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1C4F37F" w14:textId="08F29F5E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26</w:t>
            </w: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hideMark/>
          </w:tcPr>
          <w:p w14:paraId="2BBE3291" w14:textId="01B4864C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71006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hideMark/>
          </w:tcPr>
          <w:p w14:paraId="3AA6C004" w14:textId="1D8F728C" w:rsidR="00275CB8" w:rsidRPr="00CB35C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671006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B35C8" w:rsidRPr="00CB35C8" w14:paraId="20CDE966" w14:textId="77777777" w:rsidTr="00CB35C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363DC54" w14:textId="77777777" w:rsidR="00CB35C8" w:rsidRPr="00CB35C8" w:rsidRDefault="00CB35C8" w:rsidP="00CB35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Tekući projekt T160303 Financiranje katastarskih izmjera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908583C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02DC7D9" w14:textId="77777777" w:rsidR="00CB35C8" w:rsidRPr="00CB35C8" w:rsidRDefault="00CB35C8" w:rsidP="00CB3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7587F56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919E63A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1A20CB2" w14:textId="77777777" w:rsidR="00CB35C8" w:rsidRPr="00CB35C8" w:rsidRDefault="00CB35C8" w:rsidP="00CB35C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230.000,00</w:t>
            </w:r>
          </w:p>
        </w:tc>
      </w:tr>
      <w:tr w:rsidR="00275CB8" w:rsidRPr="00CB35C8" w14:paraId="00E62596" w14:textId="77777777" w:rsidTr="00316BA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1FF4016" w14:textId="77777777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Tekući projekt T160306 Sufinanciranje komunalnih projekata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84A8FDD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F7E0581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0A5CEC6" w14:textId="3E6A1319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3FA6284" w14:textId="6495F839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A21AAC" w14:textId="5D510215" w:rsidR="00275CB8" w:rsidRPr="00275CB8" w:rsidRDefault="00275CB8" w:rsidP="00275CB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75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310.000,00</w:t>
            </w:r>
          </w:p>
        </w:tc>
      </w:tr>
      <w:tr w:rsidR="00275CB8" w:rsidRPr="00CB35C8" w14:paraId="7AACC800" w14:textId="77777777" w:rsidTr="00316BA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4D41216E" w14:textId="60594069" w:rsidR="00275CB8" w:rsidRPr="00CB35C8" w:rsidRDefault="00275CB8" w:rsidP="00275CB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Tekući projekt T16030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Aglomeracija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6AC690D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F470DBC" w14:textId="77777777" w:rsidR="00275CB8" w:rsidRPr="00CB35C8" w:rsidRDefault="00275CB8" w:rsidP="00275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3E6C25B" w14:textId="43399B89" w:rsidR="00275CB8" w:rsidRPr="00275CB8" w:rsidRDefault="00216CC2" w:rsidP="0027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6BB0DD3" w14:textId="099C1D2A" w:rsidR="00275CB8" w:rsidRPr="00275CB8" w:rsidRDefault="00216CC2" w:rsidP="0027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10E3FA7" w14:textId="0C219090" w:rsidR="00275CB8" w:rsidRPr="00275CB8" w:rsidRDefault="00216CC2" w:rsidP="0027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</w:tbl>
    <w:p w14:paraId="2A3C4A19" w14:textId="77777777" w:rsidR="00CB35C8" w:rsidRDefault="00CB35C8" w:rsidP="000369CB">
      <w:pPr>
        <w:pStyle w:val="Tijeloteksta"/>
        <w:spacing w:after="0"/>
        <w:jc w:val="both"/>
      </w:pPr>
    </w:p>
    <w:p w14:paraId="45E56241" w14:textId="77777777" w:rsidR="00CB35C8" w:rsidRDefault="00CB35C8" w:rsidP="000369CB">
      <w:pPr>
        <w:pStyle w:val="Tijeloteksta"/>
        <w:spacing w:after="0"/>
        <w:jc w:val="both"/>
      </w:pPr>
    </w:p>
    <w:p w14:paraId="7F1B0DE9" w14:textId="77777777" w:rsidR="00465975" w:rsidRPr="00751C3A" w:rsidRDefault="005A38AD" w:rsidP="000369CB">
      <w:pPr>
        <w:pStyle w:val="Tijeloteksta"/>
        <w:spacing w:after="0"/>
        <w:jc w:val="both"/>
      </w:pPr>
      <w:r w:rsidRPr="00751C3A">
        <w:t>Cilj: uređenje stanja u prostoru kroz sanaciju oštećenih objekata te kroz provođenje katastarske izmjere na području Grada</w:t>
      </w:r>
    </w:p>
    <w:p w14:paraId="4BF1A2A6" w14:textId="3E061916" w:rsidR="00465975" w:rsidRPr="00751C3A" w:rsidRDefault="005A38AD" w:rsidP="000369CB">
      <w:pPr>
        <w:pStyle w:val="Tijeloteksta"/>
        <w:spacing w:after="0"/>
        <w:jc w:val="both"/>
      </w:pPr>
      <w:r w:rsidRPr="00751C3A">
        <w:t>Pokazatelji: broj saniranih objekata; izmjerena površina</w:t>
      </w:r>
      <w:r w:rsidR="00216CC2">
        <w:t>, količina poslova u aglomeraciji</w:t>
      </w:r>
    </w:p>
    <w:p w14:paraId="0FF98FA7" w14:textId="77777777" w:rsidR="005A38AD" w:rsidRDefault="005A38AD" w:rsidP="000369CB">
      <w:pPr>
        <w:pStyle w:val="Tijeloteksta"/>
        <w:spacing w:after="0"/>
        <w:jc w:val="both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4678"/>
        <w:gridCol w:w="266"/>
        <w:gridCol w:w="1715"/>
        <w:gridCol w:w="1130"/>
        <w:gridCol w:w="1111"/>
        <w:gridCol w:w="1150"/>
      </w:tblGrid>
      <w:tr w:rsidR="00216CC2" w:rsidRPr="00CB35C8" w14:paraId="3B645424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E2DEE41" w14:textId="77777777" w:rsidR="00216CC2" w:rsidRPr="00CB35C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319F63A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607D4E8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57F86D8" w14:textId="3E8024C5" w:rsidR="00216CC2" w:rsidRPr="00CB35C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8650002" w14:textId="4BD3F993" w:rsidR="00216CC2" w:rsidRPr="00CB35C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5BE2A2A" w14:textId="74B8CB31" w:rsidR="00216CC2" w:rsidRPr="00CB35C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216CC2" w:rsidRPr="00CB35C8" w14:paraId="1EB8DF20" w14:textId="77777777" w:rsidTr="00DB3BE9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806F2BF" w14:textId="77777777" w:rsidR="00216CC2" w:rsidRPr="00CB35C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1607 ODRŽAVANJE I UREĐENJE JAVNIH GRAĐEVINA I PROSTORA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D9B4542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8BCAD7A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957D326" w14:textId="504DA280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94C2AA0" w14:textId="7377E9E5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A0C2373" w14:textId="05D13139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</w:tr>
      <w:tr w:rsidR="00216CC2" w:rsidRPr="00CB35C8" w14:paraId="6F5D905F" w14:textId="77777777" w:rsidTr="00DB3BE9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5549B21" w14:textId="77777777" w:rsidR="00216CC2" w:rsidRPr="00CB35C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CB35C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A160701 Održavanje i uređenje gradskih prostora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9D005ED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C800CC6" w14:textId="77777777" w:rsidR="00216CC2" w:rsidRPr="00CB35C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B35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76B9D5" w14:textId="28E7CD35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0C3F92C" w14:textId="382AE025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93AC9D3" w14:textId="0CF38B2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156.300,00</w:t>
            </w:r>
          </w:p>
        </w:tc>
      </w:tr>
    </w:tbl>
    <w:p w14:paraId="4CBC3C73" w14:textId="77777777" w:rsidR="00465975" w:rsidRPr="00751C3A" w:rsidRDefault="005A38AD" w:rsidP="000369CB">
      <w:pPr>
        <w:pStyle w:val="Tijeloteksta"/>
        <w:spacing w:after="0"/>
        <w:jc w:val="both"/>
      </w:pPr>
      <w:r w:rsidRPr="00751C3A">
        <w:t xml:space="preserve">Cilj: uređenje javnih gradskih prostora </w:t>
      </w:r>
      <w:r w:rsidR="00D3020B" w:rsidRPr="00751C3A">
        <w:t>čime</w:t>
      </w:r>
      <w:r w:rsidRPr="00751C3A">
        <w:t xml:space="preserve"> se želi poboljšati </w:t>
      </w:r>
      <w:r w:rsidR="00D3020B" w:rsidRPr="00751C3A">
        <w:t>život stanovništva</w:t>
      </w:r>
    </w:p>
    <w:p w14:paraId="6C67F864" w14:textId="77777777" w:rsidR="00465975" w:rsidRPr="00751C3A" w:rsidRDefault="00D3020B" w:rsidP="000369CB">
      <w:pPr>
        <w:pStyle w:val="Tijeloteksta"/>
        <w:spacing w:after="0"/>
        <w:jc w:val="both"/>
      </w:pPr>
      <w:r w:rsidRPr="00751C3A">
        <w:t>Pokazatelji: broj uređenih prostora; kvadratura uređene površine</w:t>
      </w:r>
    </w:p>
    <w:p w14:paraId="6BB114C1" w14:textId="77777777" w:rsidR="00D3020B" w:rsidRDefault="00D3020B" w:rsidP="000369CB">
      <w:pPr>
        <w:pStyle w:val="Tijeloteksta"/>
        <w:spacing w:after="0"/>
        <w:jc w:val="both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4678"/>
        <w:gridCol w:w="266"/>
        <w:gridCol w:w="1715"/>
        <w:gridCol w:w="1130"/>
        <w:gridCol w:w="1111"/>
        <w:gridCol w:w="1150"/>
      </w:tblGrid>
      <w:tr w:rsidR="00216CC2" w:rsidRPr="00284828" w14:paraId="53F92BA8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23A260C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BD25B05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FFAC5A7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27D74A7" w14:textId="7F3D25B2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1F11477" w14:textId="025020F4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8AB0559" w14:textId="217BE866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216CC2" w:rsidRPr="00284828" w14:paraId="7C630379" w14:textId="77777777" w:rsidTr="00DF6350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624EEC3F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1608 UPRAVLJANJE IMOVINOM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8CA1DBB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CE3578A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8A22359" w14:textId="2F592F4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102.908,00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F32DB7C" w14:textId="7CB3A79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102.908,00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D1AE8D5" w14:textId="4DED59E1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102.908,00</w:t>
            </w:r>
          </w:p>
        </w:tc>
      </w:tr>
      <w:tr w:rsidR="00216CC2" w:rsidRPr="00284828" w14:paraId="785C6625" w14:textId="77777777" w:rsidTr="00DF6350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D893FD3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A160801 Programska rješenja upravljanja imovinom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562800F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ED78368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D92352" w14:textId="38528E88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2CC20E" w14:textId="7EA13CF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1D4E94" w14:textId="09EF92D0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216CC2" w:rsidRPr="00284828" w14:paraId="2FF6FAA1" w14:textId="77777777" w:rsidTr="002B527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BC7863E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K160801 Otkup i raspolaganje imovinom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75A21D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BD8DEBE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9E5FF50" w14:textId="19E5559B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100.408,00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80484C" w14:textId="5FEB5C0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100.408,00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F627A33" w14:textId="221DB071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100.408,00</w:t>
            </w:r>
          </w:p>
        </w:tc>
      </w:tr>
    </w:tbl>
    <w:p w14:paraId="75E363FF" w14:textId="77777777" w:rsidR="00465975" w:rsidRPr="00751C3A" w:rsidRDefault="00D3020B" w:rsidP="000369CB">
      <w:pPr>
        <w:pStyle w:val="Tijeloteksta"/>
        <w:spacing w:after="0"/>
        <w:jc w:val="both"/>
      </w:pPr>
      <w:r w:rsidRPr="00751C3A">
        <w:t>Cilj: efikasno upravljanje gradskom imovinom</w:t>
      </w:r>
    </w:p>
    <w:p w14:paraId="2F80157D" w14:textId="77777777" w:rsidR="00465975" w:rsidRDefault="00D3020B" w:rsidP="000369CB">
      <w:pPr>
        <w:pStyle w:val="Tijeloteksta"/>
        <w:spacing w:after="0"/>
        <w:jc w:val="both"/>
      </w:pPr>
      <w:r w:rsidRPr="00751C3A">
        <w:t xml:space="preserve">Pokazatelji: broj nekretnina u raspolaganju; </w:t>
      </w:r>
    </w:p>
    <w:p w14:paraId="5FC52CF5" w14:textId="77777777" w:rsidR="00275BAD" w:rsidRDefault="00275BAD" w:rsidP="000369CB">
      <w:pPr>
        <w:pStyle w:val="Tijeloteksta"/>
        <w:spacing w:after="0"/>
        <w:jc w:val="both"/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4678"/>
        <w:gridCol w:w="266"/>
        <w:gridCol w:w="1714"/>
        <w:gridCol w:w="1130"/>
        <w:gridCol w:w="1111"/>
        <w:gridCol w:w="1150"/>
      </w:tblGrid>
      <w:tr w:rsidR="00216CC2" w:rsidRPr="00284828" w14:paraId="40415407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F7302B2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A3B41A0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2E518499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858A386" w14:textId="156BEB61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B85F929" w14:textId="54F86D14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DB47D8C" w14:textId="3E8EF076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284828" w:rsidRPr="00284828" w14:paraId="4A30CCDA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5316FDB7" w14:textId="77777777" w:rsidR="00284828" w:rsidRPr="00284828" w:rsidRDefault="00284828" w:rsidP="0028482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Program 1609 PRVENTIVNE MJERE ZAŠTITE STANOVNIŠTVA I ZBRINJAVANJE ŽIVOTINJA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4102D99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BB2116F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953BAC6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C3103B1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F6754E6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  <w:tr w:rsidR="00284828" w:rsidRPr="00284828" w14:paraId="7450D874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D2FA41B" w14:textId="77777777" w:rsidR="00284828" w:rsidRPr="00284828" w:rsidRDefault="00284828" w:rsidP="0028482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A160901 Mjere deratizacije i dezinsekcije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7B782A4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61B9776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B8E4117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B63E42C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2355D81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16.000,00</w:t>
            </w:r>
          </w:p>
        </w:tc>
      </w:tr>
      <w:tr w:rsidR="00284828" w:rsidRPr="00284828" w14:paraId="12E860E3" w14:textId="77777777" w:rsidTr="00284828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C8CDBFD" w14:textId="77777777" w:rsidR="00284828" w:rsidRPr="00284828" w:rsidRDefault="00284828" w:rsidP="0028482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A160902 Zaštita životinja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E070DF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756ED70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CDF8DAB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74ACADD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B554FEE" w14:textId="77777777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</w:tbl>
    <w:p w14:paraId="63FB9B4B" w14:textId="77777777" w:rsidR="00465975" w:rsidRPr="00751C3A" w:rsidRDefault="00D3020B" w:rsidP="000369CB">
      <w:pPr>
        <w:pStyle w:val="Tijeloteksta"/>
        <w:spacing w:after="0"/>
        <w:jc w:val="both"/>
      </w:pPr>
      <w:r w:rsidRPr="00751C3A">
        <w:t>Cilj: smanjenje broja štetočina na javnim prostorima, tretiranje komaraca te zaštita kućnih ljubimaca</w:t>
      </w:r>
    </w:p>
    <w:p w14:paraId="46817B24" w14:textId="77777777" w:rsidR="00D3020B" w:rsidRPr="00751C3A" w:rsidRDefault="00D3020B" w:rsidP="000369CB">
      <w:pPr>
        <w:pStyle w:val="Tijeloteksta"/>
        <w:spacing w:after="0"/>
        <w:jc w:val="both"/>
      </w:pPr>
      <w:r w:rsidRPr="00751C3A">
        <w:t>Pokazatelji: broj aktivnosti u provođenju mjera deratizacije i dezinsekcije; broj tretiranih kućnih ljubimaca</w:t>
      </w:r>
    </w:p>
    <w:p w14:paraId="705DE752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4521"/>
        <w:gridCol w:w="266"/>
        <w:gridCol w:w="1639"/>
        <w:gridCol w:w="1240"/>
        <w:gridCol w:w="1240"/>
        <w:gridCol w:w="1155"/>
      </w:tblGrid>
      <w:tr w:rsidR="00284828" w:rsidRPr="00284828" w14:paraId="71EEE3EC" w14:textId="77777777" w:rsidTr="00216CC2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2EAEA7DA" w14:textId="77777777" w:rsidR="00284828" w:rsidRPr="00284828" w:rsidRDefault="00284828" w:rsidP="00284828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7D6A2205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</w:tcPr>
          <w:p w14:paraId="6BA8131F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29F28F76" w14:textId="32165239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59767DCE" w14:textId="16BEF15A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</w:tcPr>
          <w:p w14:paraId="31C51CCE" w14:textId="78D71AEE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8</w:t>
            </w:r>
          </w:p>
        </w:tc>
      </w:tr>
      <w:tr w:rsidR="00216CC2" w:rsidRPr="00284828" w14:paraId="56B43BE5" w14:textId="77777777" w:rsidTr="00216CC2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center"/>
            <w:hideMark/>
          </w:tcPr>
          <w:p w14:paraId="6DA97744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Razdjel 005 UPRAVNI ODJEL ZA PROSTORNO UREĐENJE I GOSPODARSTVO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19514F49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5F5B666E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50756BAB" w14:textId="7E5619BE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10.993.300,00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43B05391" w14:textId="06C6FFE1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11.715.600,00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A0"/>
            <w:vAlign w:val="bottom"/>
            <w:hideMark/>
          </w:tcPr>
          <w:p w14:paraId="5E82B059" w14:textId="5A191F6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9.015.600,00</w:t>
            </w:r>
          </w:p>
        </w:tc>
      </w:tr>
      <w:tr w:rsidR="00216CC2" w:rsidRPr="00284828" w14:paraId="2B4C5291" w14:textId="77777777" w:rsidTr="00216CC2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B6A99CE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00501 UPRAVNI ODJEL ZA PROSTORNO UREĐENJE I GOSPODARSTVO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39B56F8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964277C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24B8D26" w14:textId="7CEA2252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10.993.300,00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772C120" w14:textId="00947F8C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11.715.600,00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867A5B1" w14:textId="4A73E539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9.015.600,00</w:t>
            </w:r>
          </w:p>
        </w:tc>
      </w:tr>
      <w:tr w:rsidR="00216CC2" w:rsidRPr="00284828" w14:paraId="5C66C6E6" w14:textId="77777777" w:rsidTr="00216CC2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2A08414B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1700 PRIPREMA I DONOŠENJE AKATA IZ DJELOKRUGA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9BDB211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D64E529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2B80519" w14:textId="6A434BF7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588.300,00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8A87A8F" w14:textId="78425C2E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588.300,00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27277B2" w14:textId="6F4B809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588.300,00</w:t>
            </w:r>
          </w:p>
        </w:tc>
      </w:tr>
      <w:tr w:rsidR="00216CC2" w:rsidRPr="00284828" w14:paraId="309E55F9" w14:textId="77777777" w:rsidTr="00216CC2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DE93A39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A170001 Stručno, administrativno i tehničko osoblje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6B804A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22559CB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F2A274" w14:textId="5BA3685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04F1095" w14:textId="77E7C1A1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550.800,00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43C192B" w14:textId="3716E9A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550.800,00</w:t>
            </w:r>
          </w:p>
        </w:tc>
      </w:tr>
      <w:tr w:rsidR="00216CC2" w:rsidRPr="00284828" w14:paraId="4B1FEFDA" w14:textId="77777777" w:rsidTr="000361B5">
        <w:trPr>
          <w:trHeight w:val="259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554F2A5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lastRenderedPageBreak/>
              <w:t>Aktivnost A170002 Ostali rashodi odjela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6ED7ED4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0277185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43AC160" w14:textId="633A2978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D195359" w14:textId="79765F23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F9F3E24" w14:textId="4ACA32AA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37.500,00</w:t>
            </w:r>
          </w:p>
        </w:tc>
      </w:tr>
    </w:tbl>
    <w:p w14:paraId="24214BF1" w14:textId="77777777" w:rsidR="007C10C4" w:rsidRPr="00751C3A" w:rsidRDefault="007C10C4" w:rsidP="007C10C4">
      <w:pPr>
        <w:pStyle w:val="Tijeloteksta"/>
        <w:spacing w:after="0"/>
        <w:jc w:val="both"/>
      </w:pPr>
      <w:r w:rsidRPr="00751C3A">
        <w:t>Cilj: Osiguravanje nesmetanog obavljanja poslova kroz optimalni broj djelatnika gradske uprave radi zadovoljavanja potreba građana u okviru zakonom utvrđenih zadaća JLS. Provođenje politike plaća i drugih materijalnih prava zaposlenika u skladu s proračunskim mogućnostima te osiguravanje sredstava za nesmetano obavljanje upravnih, stručnih, administrativnih i ostalih poslova Odjela.</w:t>
      </w:r>
    </w:p>
    <w:p w14:paraId="2C6B260F" w14:textId="77777777" w:rsidR="00465975" w:rsidRPr="00751C3A" w:rsidRDefault="007C10C4" w:rsidP="000369CB">
      <w:pPr>
        <w:pStyle w:val="Tijeloteksta"/>
        <w:spacing w:after="0"/>
        <w:jc w:val="both"/>
      </w:pPr>
      <w:r w:rsidRPr="00751C3A">
        <w:t>Pokazatelji: Ispunjavanje zakonskih obveza i obveza iz Pravilnika o radu, ispunjavanje obveza po posebnim propisima, redovito i nesmetano odvijanje procesa rada upravnih tijela Grada</w:t>
      </w:r>
    </w:p>
    <w:p w14:paraId="259FC832" w14:textId="77777777" w:rsidR="00465975" w:rsidRDefault="00465975" w:rsidP="000369CB">
      <w:pPr>
        <w:pStyle w:val="Tijeloteksta"/>
        <w:spacing w:after="0"/>
        <w:jc w:val="both"/>
      </w:pPr>
    </w:p>
    <w:p w14:paraId="47CC35B6" w14:textId="77777777" w:rsidR="00284828" w:rsidRDefault="00284828" w:rsidP="000369CB">
      <w:pPr>
        <w:pStyle w:val="Tijeloteksta"/>
        <w:spacing w:after="0"/>
        <w:jc w:val="both"/>
      </w:pPr>
    </w:p>
    <w:p w14:paraId="1D08CF55" w14:textId="77777777" w:rsidR="00284828" w:rsidRDefault="00284828" w:rsidP="000369CB">
      <w:pPr>
        <w:pStyle w:val="Tijeloteksta"/>
        <w:spacing w:after="0"/>
        <w:jc w:val="both"/>
      </w:pPr>
    </w:p>
    <w:p w14:paraId="7753FE83" w14:textId="77777777" w:rsidR="00284828" w:rsidRDefault="00284828" w:rsidP="000369CB">
      <w:pPr>
        <w:pStyle w:val="Tijeloteksta"/>
        <w:spacing w:after="0"/>
        <w:jc w:val="both"/>
      </w:pPr>
    </w:p>
    <w:tbl>
      <w:tblPr>
        <w:tblW w:w="9907" w:type="dxa"/>
        <w:tblLook w:val="04A0" w:firstRow="1" w:lastRow="0" w:firstColumn="1" w:lastColumn="0" w:noHBand="0" w:noVBand="1"/>
      </w:tblPr>
      <w:tblGrid>
        <w:gridCol w:w="4536"/>
        <w:gridCol w:w="266"/>
        <w:gridCol w:w="1714"/>
        <w:gridCol w:w="1130"/>
        <w:gridCol w:w="1111"/>
        <w:gridCol w:w="1150"/>
      </w:tblGrid>
      <w:tr w:rsidR="00284828" w:rsidRPr="00284828" w14:paraId="072D42F4" w14:textId="77777777" w:rsidTr="0028482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FE46D50" w14:textId="77777777" w:rsidR="00284828" w:rsidRPr="00284828" w:rsidRDefault="00284828" w:rsidP="0028482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9427A3E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65870BE" w14:textId="77777777" w:rsidR="00284828" w:rsidRPr="00284828" w:rsidRDefault="00284828" w:rsidP="00284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9EA0927" w14:textId="76CDBF96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26E1F18" w14:textId="6881352C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5ABB435" w14:textId="535C1A61" w:rsidR="00284828" w:rsidRPr="00284828" w:rsidRDefault="00284828" w:rsidP="00284828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</w:t>
            </w:r>
            <w:r w:rsidR="00216CC2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216CC2" w:rsidRPr="00284828" w14:paraId="142E7098" w14:textId="77777777" w:rsidTr="008C1F8F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3FCF1E2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1701 PROSTORNO UREĐENJE I UNAPREĐENJE STANOVANJA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9D82D57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5502BF7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FB34F8A" w14:textId="20C06ADB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CFF2C6F" w14:textId="198220BC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4588D38" w14:textId="050AC809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134.000,00</w:t>
            </w:r>
          </w:p>
        </w:tc>
      </w:tr>
      <w:tr w:rsidR="00216CC2" w:rsidRPr="00284828" w14:paraId="29A40408" w14:textId="77777777" w:rsidTr="008C1F8F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4A22320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A170101 Geodetsko katastarske usluge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2A6D65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5B3B5AC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A4D7C98" w14:textId="25BDF0FF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9B1CFC0" w14:textId="78B74F88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7BCE3E" w14:textId="75D1310A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216CC2" w:rsidRPr="00284828" w14:paraId="450C8D1D" w14:textId="77777777" w:rsidTr="005D610C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43B62C7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A170102 Prostorno planska dokumentacija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54924CA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153193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1BA63A" w14:textId="7AF786FB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9C4C009" w14:textId="45DBF239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07DF41" w14:textId="69A9B08D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</w:tr>
    </w:tbl>
    <w:p w14:paraId="5E4F7F0A" w14:textId="77777777" w:rsidR="00465975" w:rsidRPr="00751C3A" w:rsidRDefault="0066177B" w:rsidP="000369CB">
      <w:pPr>
        <w:pStyle w:val="Tijeloteksta"/>
        <w:spacing w:after="0"/>
        <w:jc w:val="both"/>
      </w:pPr>
      <w:r w:rsidRPr="00751C3A">
        <w:t>Cilj: Osigurati konkurentno gospodarstvo na području Grada Paga i omogućiti snažniji razvoj poduzetništva te modernizaciju kapaciteta infrastrukture za obavljanje gospodarskih djelatnosti na održiv način</w:t>
      </w:r>
    </w:p>
    <w:p w14:paraId="2AC99CB1" w14:textId="441A07BF" w:rsidR="00465975" w:rsidRPr="00751C3A" w:rsidRDefault="0066177B" w:rsidP="000369CB">
      <w:pPr>
        <w:pStyle w:val="Tijeloteksta"/>
        <w:spacing w:after="0"/>
        <w:jc w:val="both"/>
      </w:pPr>
      <w:r w:rsidRPr="00751C3A">
        <w:t>Pokazatelji: Broj novih malih i srednjih poduzeća po godini</w:t>
      </w:r>
      <w:r w:rsidR="00284828">
        <w:t>, broj novih građevina.</w:t>
      </w:r>
    </w:p>
    <w:p w14:paraId="138D0806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4499"/>
        <w:gridCol w:w="266"/>
        <w:gridCol w:w="1694"/>
        <w:gridCol w:w="1151"/>
        <w:gridCol w:w="1151"/>
        <w:gridCol w:w="1151"/>
      </w:tblGrid>
      <w:tr w:rsidR="00216CC2" w:rsidRPr="00284828" w14:paraId="277B8815" w14:textId="77777777" w:rsidTr="00216CC2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176EACA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A1A068C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37A076C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B7B768C" w14:textId="4C13B27A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A7FE187" w14:textId="26B12531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6FBDDDF" w14:textId="32092334" w:rsidR="00216CC2" w:rsidRPr="00284828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216CC2" w:rsidRPr="00284828" w14:paraId="79B635DB" w14:textId="77777777" w:rsidTr="00216CC2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BFB14AA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1703 GOSPODARSTVO I TURIZAM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A54876A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7DBB631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2E9309F" w14:textId="48220DE8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6FB0DCB" w14:textId="05805970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84CE9E8" w14:textId="50EDFB72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2.168.000,00</w:t>
            </w:r>
          </w:p>
        </w:tc>
      </w:tr>
      <w:tr w:rsidR="00216CC2" w:rsidRPr="00284828" w14:paraId="7DA9F376" w14:textId="77777777" w:rsidTr="00216CC2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E3D04D3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A170301 Subvencije, donacije i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5EEECA4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9F92F30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7941597" w14:textId="685A3821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0CEA77" w14:textId="68F8B668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58BC24E" w14:textId="0457F33E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</w:tr>
      <w:tr w:rsidR="00216CC2" w:rsidRPr="00284828" w14:paraId="5B5830B9" w14:textId="77777777" w:rsidTr="00216CC2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BEE00DB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A170302 Investicijske studije i programi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A3CFA9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B627B35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C1D80FD" w14:textId="3032582F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2EA307E" w14:textId="0EB57AB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532FA8" w14:textId="750E394F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</w:tr>
      <w:tr w:rsidR="00216CC2" w:rsidRPr="00284828" w14:paraId="1C53233F" w14:textId="77777777" w:rsidTr="00404045">
        <w:trPr>
          <w:trHeight w:val="22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1520A3D" w14:textId="77777777" w:rsidR="00216CC2" w:rsidRPr="00284828" w:rsidRDefault="00216CC2" w:rsidP="00216CC2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A170303 Lokalna akcijska grupa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35FA89E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D482CD" w14:textId="77777777" w:rsidR="00216CC2" w:rsidRPr="00284828" w:rsidRDefault="00216CC2" w:rsidP="00216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EAABE4D" w14:textId="281007C6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75362EC" w14:textId="480A960E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06AE21" w14:textId="71E00E0B" w:rsidR="00216CC2" w:rsidRPr="00216CC2" w:rsidRDefault="00216CC2" w:rsidP="00216CC2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16C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D3C23" w:rsidRPr="00284828" w14:paraId="291FA574" w14:textId="77777777" w:rsidTr="00C74AB1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A06A8E0" w14:textId="7C884396" w:rsidR="00DD3C23" w:rsidRPr="00284828" w:rsidRDefault="00DD3C23" w:rsidP="00DD3C23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A170305 Sufinanciranje prog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ra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ma Turističke zajednice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C897E01" w14:textId="77777777" w:rsidR="00DD3C23" w:rsidRPr="00284828" w:rsidRDefault="00DD3C23" w:rsidP="00DD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1B3C407" w14:textId="77777777" w:rsidR="00DD3C23" w:rsidRPr="00284828" w:rsidRDefault="00DD3C23" w:rsidP="00DD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8742E4F" w14:textId="373FD64C" w:rsidR="00DD3C23" w:rsidRPr="00DD3C23" w:rsidRDefault="00DD3C23" w:rsidP="00DD3C2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D3C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C2190E0" w14:textId="3739E668" w:rsidR="00DD3C23" w:rsidRPr="00DD3C23" w:rsidRDefault="00DD3C23" w:rsidP="00DD3C2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D3C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EBFA4BC" w14:textId="63B4DD3B" w:rsidR="00DD3C23" w:rsidRPr="00DD3C23" w:rsidRDefault="00DD3C23" w:rsidP="00DD3C23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DD3C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AC08F7" w:rsidRPr="00284828" w14:paraId="49675264" w14:textId="77777777" w:rsidTr="00A85DAB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E1B0EDC" w14:textId="77777777" w:rsidR="00AC08F7" w:rsidRPr="00284828" w:rsidRDefault="00AC08F7" w:rsidP="00AC08F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A170309 Razvoj centra za poduzetništvo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F15DED9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12E4E6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0E442FD" w14:textId="3A3282F6" w:rsidR="00AC08F7" w:rsidRPr="00AC08F7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FEAD26D" w14:textId="5438AF39" w:rsidR="00AC08F7" w:rsidRPr="00AC08F7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E979CCD" w14:textId="295C8891" w:rsidR="00AC08F7" w:rsidRPr="00AC08F7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</w:tr>
      <w:tr w:rsidR="00AC08F7" w:rsidRPr="00284828" w14:paraId="76888A66" w14:textId="77777777" w:rsidTr="00A85DAB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35B244F6" w14:textId="69734D37" w:rsidR="00AC08F7" w:rsidRPr="00284828" w:rsidRDefault="00AC08F7" w:rsidP="00AC08F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AC08F7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Sufinanciranje zračnog prijevoza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30C5A20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BEA3F69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48F8B6A" w14:textId="666B0418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1E44D67" w14:textId="3288FF5C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E7A57D6" w14:textId="4CB942D0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AC08F7" w:rsidRPr="00284828" w14:paraId="0178CEFD" w14:textId="77777777" w:rsidTr="00A85DAB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229E1030" w14:textId="59780EF9" w:rsidR="00AC08F7" w:rsidRPr="00284828" w:rsidRDefault="00AC08F7" w:rsidP="00AC08F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A1703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11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AC08F7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Energetska obnova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4DFC241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72BEFA9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B95FB24" w14:textId="35C57418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3D05844" w14:textId="730383BF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AD6E76B" w14:textId="68E23E14" w:rsidR="00AC08F7" w:rsidRPr="00AC08F7" w:rsidRDefault="00AC08F7" w:rsidP="00A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C0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730.000,00</w:t>
            </w:r>
          </w:p>
        </w:tc>
      </w:tr>
      <w:tr w:rsidR="00AC08F7" w:rsidRPr="00284828" w14:paraId="4323A163" w14:textId="77777777" w:rsidTr="00216CC2">
        <w:trPr>
          <w:trHeight w:val="25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BD0B227" w14:textId="77777777" w:rsidR="00AC08F7" w:rsidRPr="00284828" w:rsidRDefault="00AC08F7" w:rsidP="00AC08F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K170301 Uređenje poslovne zone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04F4442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FA5364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D5E251A" w14:textId="67C902B7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FC2475D" w14:textId="1D5A287F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B388A6E" w14:textId="1EBBCFD7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0.000,00</w:t>
            </w:r>
          </w:p>
        </w:tc>
      </w:tr>
    </w:tbl>
    <w:p w14:paraId="5C6835E8" w14:textId="77777777" w:rsidR="00465975" w:rsidRPr="00751C3A" w:rsidRDefault="00C026AE" w:rsidP="000369CB">
      <w:pPr>
        <w:pStyle w:val="Tijeloteksta"/>
        <w:spacing w:after="0"/>
        <w:jc w:val="both"/>
      </w:pPr>
      <w:r w:rsidRPr="00751C3A">
        <w:t>Cilj: povećanje konkurentnosti gospodarstva  i povećanje turističke ponude</w:t>
      </w:r>
    </w:p>
    <w:p w14:paraId="24E8FB72" w14:textId="77777777" w:rsidR="00C026AE" w:rsidRPr="00751C3A" w:rsidRDefault="00C026AE" w:rsidP="000369CB">
      <w:pPr>
        <w:pStyle w:val="Tijeloteksta"/>
        <w:spacing w:after="0"/>
        <w:jc w:val="both"/>
      </w:pPr>
      <w:r w:rsidRPr="00751C3A">
        <w:t>Pokazatelji: broj trgovačkih društava i obrta; broj turista</w:t>
      </w:r>
    </w:p>
    <w:p w14:paraId="247EF9E3" w14:textId="77777777" w:rsidR="00275BAD" w:rsidRDefault="00275BAD" w:rsidP="000369CB">
      <w:pPr>
        <w:pStyle w:val="Tijeloteksta"/>
        <w:spacing w:after="0"/>
        <w:jc w:val="both"/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4536"/>
        <w:gridCol w:w="266"/>
        <w:gridCol w:w="1712"/>
        <w:gridCol w:w="1136"/>
        <w:gridCol w:w="1116"/>
        <w:gridCol w:w="1155"/>
      </w:tblGrid>
      <w:tr w:rsidR="00AC08F7" w:rsidRPr="00284828" w14:paraId="25D9A7EE" w14:textId="77777777" w:rsidTr="0028482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2BD98B3" w14:textId="77777777" w:rsidR="00AC08F7" w:rsidRPr="00284828" w:rsidRDefault="00AC08F7" w:rsidP="00AC08F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E98036F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8C8B5A1" w14:textId="77777777" w:rsidR="00AC08F7" w:rsidRPr="00284828" w:rsidRDefault="00AC08F7" w:rsidP="00AC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6ECC884" w14:textId="53921DCC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4D5406D" w14:textId="0A76D169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4157295" w14:textId="0E5B90FA" w:rsidR="00AC08F7" w:rsidRPr="00284828" w:rsidRDefault="00AC08F7" w:rsidP="00AC08F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766D8F" w:rsidRPr="00284828" w14:paraId="59B45339" w14:textId="77777777" w:rsidTr="00E23FED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3CC1056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1704 UREĐENJE I GRADNJA JAVNO PROMETNIH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69B6958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3250DFD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F968585" w14:textId="532DC1D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955.500,00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C8CF44A" w14:textId="2DF3213C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955.500,00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684A4D4" w14:textId="5F15A75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955.500,00</w:t>
            </w:r>
          </w:p>
        </w:tc>
      </w:tr>
      <w:tr w:rsidR="00766D8F" w:rsidRPr="00284828" w14:paraId="04B42C0C" w14:textId="77777777" w:rsidTr="00E23FED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5E9956F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K170401 Projekti prometnih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D16BA76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BFC1384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856FD7" w14:textId="211F619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A20707B" w14:textId="5AA2D04A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98815AB" w14:textId="10416F77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766D8F" w:rsidRPr="00284828" w14:paraId="789F6CE5" w14:textId="77777777" w:rsidTr="00917B6C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9D5AA52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K170403 Gradska tržnica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4F3E4F5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BA34454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180FC44" w14:textId="7371B22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5AADEC" w14:textId="0A2BE041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CEFBD2" w14:textId="496E1E67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766D8F" w:rsidRPr="00284828" w14:paraId="2D6F335B" w14:textId="77777777" w:rsidTr="0080456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7218395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K170404 Uređenje luka na području Grada Paga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BC19E4D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E2F27F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67DDC2A" w14:textId="27E7D8E1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73EB8E" w14:textId="0AD812A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B209E8B" w14:textId="1E329530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766D8F" w:rsidRPr="00284828" w14:paraId="2AC1C8C8" w14:textId="77777777" w:rsidTr="00F31377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E120373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K170405 Projekt uređenja parkova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41B2101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FCDEF1E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A5B1DE0" w14:textId="653FA0B5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495FB42" w14:textId="42431068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D4E77F" w14:textId="2384E9CD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</w:tr>
      <w:tr w:rsidR="00766D8F" w:rsidRPr="00284828" w14:paraId="45A95038" w14:textId="77777777" w:rsidTr="00AC4DC7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7406BBB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K170406 Uređenje biciklističkih staza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71E54A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5760122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B162023" w14:textId="3DDC7DA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ADBADB1" w14:textId="21C969E0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8A32403" w14:textId="6BF0088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766D8F" w:rsidRPr="00284828" w14:paraId="566D4DC4" w14:textId="77777777" w:rsidTr="00E7398C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AD93ACA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K170409 Uređenje šetnica i plaža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AB156FD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062F6A8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F9D8790" w14:textId="56E507AA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96674F4" w14:textId="33D7C8CE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AA1A614" w14:textId="2EB80933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</w:tr>
      <w:tr w:rsidR="00766D8F" w:rsidRPr="00284828" w14:paraId="3DCAAE06" w14:textId="77777777" w:rsidTr="00380D6B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BE40E2D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K170411 Postavljanje i uređenje dječjih igrališta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700C1BF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315775B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90B607" w14:textId="2F112998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FA3E776" w14:textId="767FA350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DF36732" w14:textId="099A99CC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142.000,00</w:t>
            </w:r>
          </w:p>
        </w:tc>
      </w:tr>
      <w:tr w:rsidR="00766D8F" w:rsidRPr="00284828" w14:paraId="0E1A5906" w14:textId="77777777" w:rsidTr="00512CE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382F340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K170412 Opremanje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BA9445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DD719D9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075A32" w14:textId="0AD777C8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51C0B21" w14:textId="2E8390A1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FE3B818" w14:textId="076EF629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103.000,00</w:t>
            </w:r>
          </w:p>
        </w:tc>
      </w:tr>
      <w:tr w:rsidR="00766D8F" w:rsidRPr="00284828" w14:paraId="359DA945" w14:textId="77777777" w:rsidTr="007A1133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63C8F57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K170415 Izgradnja pješačke staze Šimuni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53CC41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5CFB6AD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9FD541" w14:textId="59AC6125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AC4E041" w14:textId="3AF2453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DDBD596" w14:textId="1FD97340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766D8F" w:rsidRPr="00284828" w14:paraId="6F0F21B8" w14:textId="77777777" w:rsidTr="004E2F52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C73845E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K170416 Sanacija opasnih mjesta na prometnicama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6AA1536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5FCBD9D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C0319C1" w14:textId="5B132FB9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E000CB5" w14:textId="3A7DD640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2F43E85" w14:textId="41C319D1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45.500,00</w:t>
            </w:r>
          </w:p>
        </w:tc>
      </w:tr>
      <w:tr w:rsidR="00766D8F" w:rsidRPr="00284828" w14:paraId="2540FBCA" w14:textId="77777777" w:rsidTr="00632659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28D92E6" w14:textId="77777777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lastRenderedPageBreak/>
              <w:t>Kapitalni projekt K170417 Video nadzor prometa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C49401E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12DB271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2848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23501F" w14:textId="2B1BC84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2C5A281" w14:textId="715A715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2F828C6" w14:textId="53E57E7D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766D8F" w:rsidRPr="00284828" w14:paraId="50AF9CF4" w14:textId="77777777" w:rsidTr="00632659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5C4A7F43" w14:textId="683B2BB3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8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Izgradnja javnih fontana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1010216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0EB9CA2E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088E056E" w14:textId="0C1CF088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B7301B6" w14:textId="4D4449FA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615782A" w14:textId="4FD6DAFB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66D8F" w:rsidRPr="00284828" w14:paraId="08E61764" w14:textId="77777777" w:rsidTr="00632659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77F09F71" w14:textId="65318626" w:rsidR="00766D8F" w:rsidRPr="00284828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K17041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</w:t>
            </w:r>
            <w:r w:rsidRPr="00284828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Smeđa signalizacija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521B1E0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8B1DA15" w14:textId="77777777" w:rsidR="00766D8F" w:rsidRPr="00284828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A082D33" w14:textId="55278172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6BAC1A3" w14:textId="679DDD7C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5A36854" w14:textId="2E46CD8B" w:rsidR="00766D8F" w:rsidRPr="00766D8F" w:rsidRDefault="00766D8F" w:rsidP="00766D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</w:tbl>
    <w:p w14:paraId="238BE295" w14:textId="77777777" w:rsidR="00E02109" w:rsidRPr="00751C3A" w:rsidRDefault="00E02109" w:rsidP="000369CB">
      <w:pPr>
        <w:pStyle w:val="Tijeloteksta"/>
        <w:spacing w:after="0"/>
        <w:jc w:val="both"/>
      </w:pPr>
      <w:r w:rsidRPr="00751C3A">
        <w:t>Cilj: valorizacija javnih prostora sukladno potrebama stanovništva; uređenje i opremanje prometnih javnih površina i dječjih igrališta</w:t>
      </w:r>
    </w:p>
    <w:p w14:paraId="48804592" w14:textId="77777777" w:rsidR="00465975" w:rsidRPr="00751C3A" w:rsidRDefault="00E02109" w:rsidP="000369CB">
      <w:pPr>
        <w:pStyle w:val="Tijeloteksta"/>
        <w:spacing w:after="0"/>
        <w:jc w:val="both"/>
      </w:pPr>
      <w:r w:rsidRPr="00751C3A">
        <w:t xml:space="preserve">Pokazatelji: kvadratura uređenih površina; broj uređenih igrališta </w:t>
      </w:r>
    </w:p>
    <w:p w14:paraId="7BF9CAE7" w14:textId="77777777" w:rsidR="00465975" w:rsidRDefault="00465975" w:rsidP="000369CB">
      <w:pPr>
        <w:pStyle w:val="Tijeloteksta"/>
        <w:spacing w:after="0"/>
        <w:jc w:val="both"/>
      </w:pPr>
    </w:p>
    <w:p w14:paraId="7D0C767E" w14:textId="77777777" w:rsidR="00FA3FBF" w:rsidRDefault="00FA3FBF" w:rsidP="000369CB">
      <w:pPr>
        <w:pStyle w:val="Tijeloteksta"/>
        <w:spacing w:after="0"/>
        <w:jc w:val="both"/>
      </w:pPr>
    </w:p>
    <w:tbl>
      <w:tblPr>
        <w:tblW w:w="10198" w:type="dxa"/>
        <w:tblLook w:val="04A0" w:firstRow="1" w:lastRow="0" w:firstColumn="1" w:lastColumn="0" w:noHBand="0" w:noVBand="1"/>
      </w:tblPr>
      <w:tblGrid>
        <w:gridCol w:w="4780"/>
        <w:gridCol w:w="266"/>
        <w:gridCol w:w="1698"/>
        <w:gridCol w:w="1151"/>
        <w:gridCol w:w="1151"/>
        <w:gridCol w:w="1152"/>
      </w:tblGrid>
      <w:tr w:rsidR="00766D8F" w:rsidRPr="00FA3FBF" w14:paraId="1AE2F62A" w14:textId="77777777" w:rsidTr="00766D8F">
        <w:trPr>
          <w:trHeight w:val="25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132ACDE" w14:textId="77777777" w:rsidR="00766D8F" w:rsidRPr="00FA3FBF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301E8150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D53AA8A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DC226C2" w14:textId="56D1A1B6" w:rsidR="00766D8F" w:rsidRPr="00FA3FB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C55A3EA" w14:textId="7A323BEA" w:rsidR="00766D8F" w:rsidRPr="00FA3FB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C7E0DC4" w14:textId="2A16291B" w:rsidR="00766D8F" w:rsidRPr="00FA3FB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766D8F" w:rsidRPr="00FA3FBF" w14:paraId="48FAE8A3" w14:textId="77777777" w:rsidTr="00766D8F">
        <w:trPr>
          <w:trHeight w:val="25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290A2F9" w14:textId="77777777" w:rsidR="00766D8F" w:rsidRPr="00FA3FBF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1705 UREĐENJE I GRADNJA JAVNIH OBJEKATA I PROSTORA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1C8F4DC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56683EC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8DFD313" w14:textId="7C09593E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DB12751" w14:textId="6FE80FB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03E16BB" w14:textId="70D0A949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1.350.000,00</w:t>
            </w:r>
          </w:p>
        </w:tc>
      </w:tr>
      <w:tr w:rsidR="00766D8F" w:rsidRPr="00FA3FBF" w14:paraId="5DD56A7F" w14:textId="77777777" w:rsidTr="00766D8F">
        <w:trPr>
          <w:trHeight w:val="25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CBB93D9" w14:textId="77777777" w:rsidR="00766D8F" w:rsidRPr="00FA3FBF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K170505 Uređenje Doma kulture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323D57C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0C1ADDF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13803DB" w14:textId="3503AF56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F892BF" w14:textId="2CB4BCA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2266FA" w14:textId="50F0828E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</w:tr>
      <w:tr w:rsidR="00766D8F" w:rsidRPr="00FA3FBF" w14:paraId="06C6EF4B" w14:textId="77777777" w:rsidTr="00377605">
        <w:trPr>
          <w:trHeight w:val="25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00D0EF8" w14:textId="77777777" w:rsidR="00766D8F" w:rsidRPr="00FA3FBF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K170511 Uređenje sportskog centra i sportskih igrališta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0042387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9D3A6F1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B84E88" w14:textId="0605CE53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4A98F38" w14:textId="646823CC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1.165.000,00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7E8530D" w14:textId="41930904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1.165.000,00</w:t>
            </w:r>
          </w:p>
        </w:tc>
      </w:tr>
      <w:tr w:rsidR="00766D8F" w:rsidRPr="00FA3FBF" w14:paraId="6EF0F778" w14:textId="77777777" w:rsidTr="00071A8C">
        <w:trPr>
          <w:trHeight w:val="25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8D6D45C" w14:textId="77777777" w:rsidR="00766D8F" w:rsidRPr="00FA3FBF" w:rsidRDefault="00766D8F" w:rsidP="00766D8F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K170513 Uređenje platoa Prosika - Outdoor centar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49D852C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A0AA1DB" w14:textId="77777777" w:rsidR="00766D8F" w:rsidRPr="00FA3FBF" w:rsidRDefault="00766D8F" w:rsidP="00766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F0233A" w14:textId="021709B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B844BA7" w14:textId="6382D803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570894" w14:textId="4E550F8B" w:rsidR="00766D8F" w:rsidRPr="00766D8F" w:rsidRDefault="00766D8F" w:rsidP="00766D8F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766D8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</w:tbl>
    <w:p w14:paraId="1C0ED68C" w14:textId="45BCA398" w:rsidR="00465975" w:rsidRPr="00751C3A" w:rsidRDefault="0066177B" w:rsidP="000369CB">
      <w:pPr>
        <w:pStyle w:val="Tijeloteksta"/>
        <w:spacing w:after="0"/>
        <w:jc w:val="both"/>
      </w:pPr>
      <w:r w:rsidRPr="00751C3A">
        <w:t>Cilj: razvoj turističke infrastrukture, sadržaja i ponude, uz naglasak na razvoj posebnih oblika turizma, koji će doprinijeti razvoju prepoznatljivog, održivog cjelogodišnjeg turizma u Gradu Pagu koji ne počiva samo na "suncu i moru".</w:t>
      </w:r>
      <w:r w:rsidR="00FA3FBF">
        <w:t xml:space="preserve"> Razvoj sportske infrastrukture te poboljšanje kvalitete života starijih građana.</w:t>
      </w:r>
      <w:r w:rsidRPr="00751C3A">
        <w:t xml:space="preserve"> Uz to, provedba mjere se odnosi i na obnovu te pronalazak nove namjene postojećoj infrastrukturi i kulturnoj baštini.</w:t>
      </w:r>
    </w:p>
    <w:p w14:paraId="004987FD" w14:textId="6D65562D" w:rsidR="00465975" w:rsidRPr="00751C3A" w:rsidRDefault="0066177B" w:rsidP="000369CB">
      <w:pPr>
        <w:pStyle w:val="Tijeloteksta"/>
        <w:spacing w:after="0"/>
        <w:jc w:val="both"/>
      </w:pPr>
      <w:r w:rsidRPr="00751C3A">
        <w:t>Pokazatelji: neto stopa popunjenosti kreveta i spavaćih soba u hotelima i sličnom smještaju (iskorištenost kapaciteta u danima od siječnja do prosinca), prosječna potrošnja turista po danu, u eurima</w:t>
      </w:r>
      <w:r w:rsidR="00FA3FBF">
        <w:t>), broj sportskih terena.</w:t>
      </w:r>
    </w:p>
    <w:p w14:paraId="1FF2A132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10192" w:type="dxa"/>
        <w:tblLook w:val="04A0" w:firstRow="1" w:lastRow="0" w:firstColumn="1" w:lastColumn="0" w:noHBand="0" w:noVBand="1"/>
      </w:tblPr>
      <w:tblGrid>
        <w:gridCol w:w="4820"/>
        <w:gridCol w:w="266"/>
        <w:gridCol w:w="1711"/>
        <w:gridCol w:w="1132"/>
        <w:gridCol w:w="1112"/>
        <w:gridCol w:w="1151"/>
      </w:tblGrid>
      <w:tr w:rsidR="0054234C" w:rsidRPr="00FA3FBF" w14:paraId="14D4CF0B" w14:textId="77777777" w:rsidTr="00FA3FBF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B6D5134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BD12F54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3117185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F3CEA82" w14:textId="596752D1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EFD6C58" w14:textId="30D98B06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B325432" w14:textId="20EEA30C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4234C" w:rsidRPr="00FA3FBF" w14:paraId="6686258B" w14:textId="77777777" w:rsidTr="00BE720B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4CF71D15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1706 GRAĐENJE OBJEKATA I UREĐAJA KOMUNALNE INFRASTRUKTURE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3F2399A0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3C977A6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300040D" w14:textId="303E45D1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251.000,00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2A86460" w14:textId="5DFF9647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11FA83D" w14:textId="5B9485C5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251.000,00</w:t>
            </w:r>
          </w:p>
        </w:tc>
      </w:tr>
      <w:tr w:rsidR="0054234C" w:rsidRPr="00FA3FBF" w14:paraId="0F900C09" w14:textId="77777777" w:rsidTr="00BE720B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35B293A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K170601 Izgradnja nove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B4966D8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9FB3EF6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6AB630B" w14:textId="0C207AB1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8038A9D" w14:textId="4E94F86F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AE99F46" w14:textId="0A376CD5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91.000,00</w:t>
            </w:r>
          </w:p>
        </w:tc>
      </w:tr>
      <w:tr w:rsidR="0054234C" w:rsidRPr="00FA3FBF" w14:paraId="12BB48AE" w14:textId="77777777" w:rsidTr="00AA0AC6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42A7350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K170602 Izgradnja sustava odvodnih kanala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B9686D4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8BF206D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74BABEC" w14:textId="7F6F4336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D0F4AA9" w14:textId="44A4ADEE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B00BA4" w14:textId="3C15BBFB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4234C" w:rsidRPr="00FA3FBF" w14:paraId="395C3311" w14:textId="77777777" w:rsidTr="00066B36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5DFF43B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K170603 Uređenje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A95E09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B8980F8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525941E" w14:textId="64535A0B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B01D90" w14:textId="0B14D195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86AEEE8" w14:textId="2A4D72D4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</w:tbl>
    <w:p w14:paraId="29A0829D" w14:textId="77777777" w:rsidR="00465975" w:rsidRPr="00751C3A" w:rsidRDefault="00E02109" w:rsidP="000369CB">
      <w:pPr>
        <w:pStyle w:val="Tijeloteksta"/>
        <w:spacing w:after="0"/>
        <w:jc w:val="both"/>
      </w:pPr>
      <w:r w:rsidRPr="00751C3A">
        <w:t>Cilj: poboljšanje života i boravka stanovništva kroz izgradnju i proširenje sustava javne rasvjete je kroz infrastrukturu za odvodnju oborina, te proširenje i izrada novih grobnih mjesta</w:t>
      </w:r>
    </w:p>
    <w:p w14:paraId="0DBF897F" w14:textId="77777777" w:rsidR="00465975" w:rsidRDefault="00E02109" w:rsidP="000369CB">
      <w:pPr>
        <w:pStyle w:val="Tijeloteksta"/>
        <w:spacing w:after="0"/>
        <w:jc w:val="both"/>
      </w:pPr>
      <w:r w:rsidRPr="00751C3A">
        <w:t>Pokazatelji: broj novih rasvjetnih stupova javne rasvjete; dužina novih kanala za odvodnju</w:t>
      </w:r>
      <w:r w:rsidR="00F55E8E" w:rsidRPr="00751C3A">
        <w:t>, broj novih grobnih mjesta</w:t>
      </w:r>
    </w:p>
    <w:p w14:paraId="080A730E" w14:textId="77777777" w:rsidR="00AC10D9" w:rsidRDefault="00AC10D9" w:rsidP="000369CB">
      <w:pPr>
        <w:pStyle w:val="Tijeloteksta"/>
        <w:spacing w:after="0"/>
        <w:jc w:val="both"/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4811"/>
        <w:gridCol w:w="266"/>
        <w:gridCol w:w="1708"/>
        <w:gridCol w:w="1151"/>
        <w:gridCol w:w="1110"/>
        <w:gridCol w:w="1149"/>
      </w:tblGrid>
      <w:tr w:rsidR="0054234C" w:rsidRPr="00FA3FBF" w14:paraId="27A701E2" w14:textId="77777777" w:rsidTr="0054234C">
        <w:trPr>
          <w:trHeight w:val="25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4A5D046B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D7F60F9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4AB82412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54CAADF" w14:textId="58BA1120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943E8CE" w14:textId="4A48E03B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D46FEB9" w14:textId="68F391D3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4234C" w:rsidRPr="00FA3FBF" w14:paraId="564DE08F" w14:textId="77777777" w:rsidTr="0054234C">
        <w:trPr>
          <w:trHeight w:val="25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15E92EF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1707 GRAĐENJE GRAĐEVINA ZA GOSPODARENJE KOMUNALNIM OTPADOM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437817D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06F67C4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CEC7087" w14:textId="274913CB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2.164.500,00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5A5D495" w14:textId="5BEB25E8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5D9242E" w14:textId="71C23BE4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</w:tr>
      <w:tr w:rsidR="0054234C" w:rsidRPr="00FA3FBF" w14:paraId="258B96CC" w14:textId="77777777" w:rsidTr="0054234C">
        <w:trPr>
          <w:trHeight w:val="25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4ACC4B7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A170702 Sanacija deponije Sv. Kuzam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3035022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1261645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D3140E4" w14:textId="362C4777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5932CEA" w14:textId="36242D4A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A2EEEC9" w14:textId="48AB4BF1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</w:tr>
      <w:tr w:rsidR="0054234C" w:rsidRPr="00FA3FBF" w14:paraId="747AE034" w14:textId="77777777" w:rsidTr="0054234C">
        <w:trPr>
          <w:trHeight w:val="25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724DAA9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K170701 Izgradnja plohe i sortirnice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BE57B55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DB94220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72A7BBA" w14:textId="2B05E8E1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2.131.000,00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3D94797" w14:textId="1F766056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19C4E76" w14:textId="7D8B48D5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464D0FAB" w14:textId="77777777" w:rsidR="00465975" w:rsidRPr="00751C3A" w:rsidRDefault="004D2AA4" w:rsidP="000369CB">
      <w:pPr>
        <w:pStyle w:val="Tijeloteksta"/>
        <w:spacing w:after="0"/>
        <w:jc w:val="both"/>
      </w:pPr>
      <w:r w:rsidRPr="00751C3A">
        <w:t>Cilj: Poticanje građana i poduzetnika na odvajanje otpada, prelazak na kružno gospodarstvo te smanjenje proizvodnje otpada</w:t>
      </w:r>
    </w:p>
    <w:p w14:paraId="155EF175" w14:textId="77777777" w:rsidR="00465975" w:rsidRDefault="004D2AA4" w:rsidP="000369CB">
      <w:pPr>
        <w:pStyle w:val="Tijeloteksta"/>
        <w:spacing w:after="0"/>
        <w:jc w:val="both"/>
      </w:pPr>
      <w:r w:rsidRPr="00751C3A">
        <w:t>Pokazatelji: stupanj recikliranja komunalnog otpada</w:t>
      </w:r>
    </w:p>
    <w:p w14:paraId="7661E347" w14:textId="77777777" w:rsidR="00AC10D9" w:rsidRDefault="00AC10D9" w:rsidP="000369CB">
      <w:pPr>
        <w:pStyle w:val="Tijeloteksta"/>
        <w:spacing w:after="0"/>
        <w:jc w:val="both"/>
      </w:pPr>
    </w:p>
    <w:tbl>
      <w:tblPr>
        <w:tblW w:w="10191" w:type="dxa"/>
        <w:tblLook w:val="04A0" w:firstRow="1" w:lastRow="0" w:firstColumn="1" w:lastColumn="0" w:noHBand="0" w:noVBand="1"/>
      </w:tblPr>
      <w:tblGrid>
        <w:gridCol w:w="4820"/>
        <w:gridCol w:w="266"/>
        <w:gridCol w:w="1714"/>
        <w:gridCol w:w="1130"/>
        <w:gridCol w:w="1111"/>
        <w:gridCol w:w="1150"/>
      </w:tblGrid>
      <w:tr w:rsidR="0054234C" w:rsidRPr="00FA3FBF" w14:paraId="24FF3E4A" w14:textId="77777777" w:rsidTr="00FA3FBF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531D6B8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14074F8D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7838DB1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CDFA55B" w14:textId="2282D0DD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AD756D1" w14:textId="275BF903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22A8A0F" w14:textId="7B0B53A4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4234C" w:rsidRPr="00FA3FBF" w14:paraId="01004C98" w14:textId="77777777" w:rsidTr="00C513D2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1188057C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1708 NERAZVRSTANE CESTE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A4719E6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4B95AB5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5D99689" w14:textId="7F3870FF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770FC3C" w14:textId="33CEA33C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48943F0" w14:textId="06688DDA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</w:tr>
      <w:tr w:rsidR="0054234C" w:rsidRPr="00FA3FBF" w14:paraId="05BE3047" w14:textId="77777777" w:rsidTr="009B656C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387271C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K170801 Izgradnja i uređenje nerazvrstanih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2F40003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5B16A30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24367A9" w14:textId="3932663A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EECAF62" w14:textId="5942B823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9113F81" w14:textId="43C677FC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</w:tr>
    </w:tbl>
    <w:p w14:paraId="6F26A362" w14:textId="77777777" w:rsidR="00465975" w:rsidRPr="00751C3A" w:rsidRDefault="00DE021D" w:rsidP="000369CB">
      <w:pPr>
        <w:pStyle w:val="Tijeloteksta"/>
        <w:spacing w:after="0"/>
        <w:jc w:val="both"/>
      </w:pPr>
      <w:r w:rsidRPr="00751C3A">
        <w:t xml:space="preserve">Cilj: projektiranje i izgradnja novih nerazvrstanih cesta na području Grada </w:t>
      </w:r>
    </w:p>
    <w:p w14:paraId="3856D92B" w14:textId="77777777" w:rsidR="00465975" w:rsidRDefault="00DE021D" w:rsidP="000369CB">
      <w:pPr>
        <w:pStyle w:val="Tijeloteksta"/>
        <w:spacing w:after="0"/>
        <w:jc w:val="both"/>
      </w:pPr>
      <w:r w:rsidRPr="00751C3A">
        <w:t>Pokazatelji: broj projekata za nove ceste; dužina novoizgrađenih cesta</w:t>
      </w:r>
    </w:p>
    <w:p w14:paraId="76D6161E" w14:textId="77777777" w:rsidR="00AC10D9" w:rsidRDefault="00AC10D9" w:rsidP="000369CB">
      <w:pPr>
        <w:pStyle w:val="Tijeloteksta"/>
        <w:spacing w:after="0"/>
        <w:jc w:val="both"/>
      </w:pPr>
    </w:p>
    <w:p w14:paraId="05D71B81" w14:textId="77777777" w:rsidR="0054234C" w:rsidRDefault="0054234C" w:rsidP="000369CB">
      <w:pPr>
        <w:pStyle w:val="Tijeloteksta"/>
        <w:spacing w:after="0"/>
        <w:jc w:val="both"/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4820"/>
        <w:gridCol w:w="266"/>
        <w:gridCol w:w="1716"/>
        <w:gridCol w:w="1131"/>
        <w:gridCol w:w="1111"/>
        <w:gridCol w:w="1150"/>
      </w:tblGrid>
      <w:tr w:rsidR="0054234C" w:rsidRPr="00FA3FBF" w14:paraId="6EAEFA72" w14:textId="77777777" w:rsidTr="00FA3FBF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0B6A5897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09D54897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64E7104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A528E15" w14:textId="21CF4D93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C21771F" w14:textId="2D79BD12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AE3C2A4" w14:textId="52DEE77E" w:rsidR="0054234C" w:rsidRPr="00FA3FBF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4234C" w:rsidRPr="00FA3FBF" w14:paraId="5604CAB3" w14:textId="77777777" w:rsidTr="00833EC0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302B925C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1709 ZAŠTITA OKOLIŠA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29AA193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51354930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445868A" w14:textId="184288C3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7A471646" w14:textId="54767F4E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42E79D6" w14:textId="261B1F74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</w:tr>
      <w:tr w:rsidR="0054234C" w:rsidRPr="00FA3FBF" w14:paraId="73435728" w14:textId="77777777" w:rsidTr="00833EC0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0E12B91" w14:textId="77777777" w:rsidR="0054234C" w:rsidRPr="00FA3FBF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A3FB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A170901 Odlaganje i zbrinjavanje otpada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511ACA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77D8B4E" w14:textId="77777777" w:rsidR="0054234C" w:rsidRPr="00FA3FBF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FA3F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655F399" w14:textId="7E97F47B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A6EFA43" w14:textId="3F7A6A8F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83D9B3" w14:textId="592C4BB4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85.500,00</w:t>
            </w:r>
          </w:p>
        </w:tc>
      </w:tr>
    </w:tbl>
    <w:p w14:paraId="776A5955" w14:textId="77777777" w:rsidR="00465975" w:rsidRPr="00751C3A" w:rsidRDefault="00C026AE" w:rsidP="000369CB">
      <w:pPr>
        <w:pStyle w:val="Tijeloteksta"/>
        <w:spacing w:after="0"/>
        <w:jc w:val="both"/>
      </w:pPr>
      <w:r w:rsidRPr="00751C3A">
        <w:t>Cilj: tranzicija prema energetskoj učinkovitosti, povećanje korištenja OIE i čiste energije</w:t>
      </w:r>
    </w:p>
    <w:p w14:paraId="45F1FA1B" w14:textId="0E54B7E3" w:rsidR="00465975" w:rsidRPr="00751C3A" w:rsidRDefault="00C026AE" w:rsidP="000369CB">
      <w:pPr>
        <w:pStyle w:val="Tijeloteksta"/>
        <w:spacing w:after="0"/>
        <w:jc w:val="both"/>
      </w:pPr>
      <w:r w:rsidRPr="00751C3A">
        <w:t>Pokazatelji: broj javno dostupnih punionica za vozila na električni pogon</w:t>
      </w:r>
      <w:r w:rsidR="00FA3FBF">
        <w:t>, količina prikupljenog otpada</w:t>
      </w:r>
    </w:p>
    <w:p w14:paraId="6F14AAC2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4536"/>
        <w:gridCol w:w="266"/>
        <w:gridCol w:w="1712"/>
        <w:gridCol w:w="1132"/>
        <w:gridCol w:w="1113"/>
        <w:gridCol w:w="1152"/>
      </w:tblGrid>
      <w:tr w:rsidR="0054234C" w:rsidRPr="004B04F4" w14:paraId="7C788E6F" w14:textId="77777777" w:rsidTr="004B04F4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54E0DC68" w14:textId="77777777" w:rsidR="0054234C" w:rsidRPr="004B04F4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17456C0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7730DCD6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2894FCD3" w14:textId="52C7B1A7" w:rsidR="0054234C" w:rsidRPr="004B04F4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6B3E086" w14:textId="145A11BA" w:rsidR="0054234C" w:rsidRPr="004B04F4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6DB96585" w14:textId="28358EC6" w:rsidR="0054234C" w:rsidRPr="004B04F4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54234C" w:rsidRPr="004B04F4" w14:paraId="5F22E3A7" w14:textId="77777777" w:rsidTr="0089189E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460C227" w14:textId="77777777" w:rsidR="0054234C" w:rsidRPr="004B04F4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Program 1710 FINANCIRANJE UDRUGA PO PROGRAMIMA JAVNIH POTREBA TE RAZVOJA CIVILNOG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F0500ED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E0144C3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1B7BD51" w14:textId="1CF546E7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408.800,00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0E6830D" w14:textId="0F3AB8D8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408.800,00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63E4D28" w14:textId="45B1D06D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408.800,00</w:t>
            </w:r>
          </w:p>
        </w:tc>
      </w:tr>
      <w:tr w:rsidR="0054234C" w:rsidRPr="004B04F4" w14:paraId="57D87C83" w14:textId="77777777" w:rsidTr="0089189E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8845BA0" w14:textId="77777777" w:rsidR="0054234C" w:rsidRPr="004B04F4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A171001 Javne potrebe u kulturi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8BC00C9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F76FBEF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2ABBC4A" w14:textId="78AFFF6D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163531F" w14:textId="4034759E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A78D037" w14:textId="5396AB14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112.500,00</w:t>
            </w:r>
          </w:p>
        </w:tc>
      </w:tr>
      <w:tr w:rsidR="0054234C" w:rsidRPr="004B04F4" w14:paraId="7C1B5213" w14:textId="77777777" w:rsidTr="007C7958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272D7FB7" w14:textId="77777777" w:rsidR="0054234C" w:rsidRPr="004B04F4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A171002 Javne potrebe u sportu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78945F5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84D7D82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FD48BDE" w14:textId="04AAFCAF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8067A7F" w14:textId="2BA6A2A2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B96327A" w14:textId="244BE48B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54234C" w:rsidRPr="004B04F4" w14:paraId="029433EA" w14:textId="77777777" w:rsidTr="004971AC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3F28A880" w14:textId="77777777" w:rsidR="0054234C" w:rsidRPr="004B04F4" w:rsidRDefault="0054234C" w:rsidP="0054234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A171003 Programi udruga proizašlih iz Domovinskog rata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5D50B3F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1D3413" w14:textId="77777777" w:rsidR="0054234C" w:rsidRPr="004B04F4" w:rsidRDefault="0054234C" w:rsidP="00542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0637B9E" w14:textId="07CED5C1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38A3782" w14:textId="66D00F09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88071A2" w14:textId="10BBAC07" w:rsidR="0054234C" w:rsidRPr="0054234C" w:rsidRDefault="0054234C" w:rsidP="0054234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542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AF6DEE" w:rsidRPr="004B04F4" w14:paraId="343E51E4" w14:textId="77777777" w:rsidTr="00464625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0A98463E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A171004 Programi udruga civilnog društva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ECB6EC7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D657FE2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9E7C327" w14:textId="0D765F1F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B367A49" w14:textId="5DF52CA9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3FE0CD0" w14:textId="429CDAEB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</w:tr>
      <w:tr w:rsidR="00AF6DEE" w:rsidRPr="004B04F4" w14:paraId="673C70F9" w14:textId="77777777" w:rsidTr="00787920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55D878DC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A171005 Donacije župnim uredima i samostanima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CA17260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8ADC0A5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CC41F7C" w14:textId="6C7F62A8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AF88B99" w14:textId="7B2E440E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C10453A" w14:textId="49F0D4B2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129.600,00</w:t>
            </w:r>
          </w:p>
        </w:tc>
      </w:tr>
      <w:tr w:rsidR="00AF6DEE" w:rsidRPr="004B04F4" w14:paraId="496FD195" w14:textId="77777777" w:rsidTr="00DD120E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4C6F56C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A171007 Javne potrebe iznad standarda u osnovnom školstvu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FC1F877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F65CAF7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F28487D" w14:textId="5681A0D9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771A653" w14:textId="383C9E79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E06797F" w14:textId="5706D6A3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AF6DEE" w:rsidRPr="004B04F4" w14:paraId="4E0B6A74" w14:textId="77777777" w:rsidTr="0073414A">
        <w:trPr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1C80FCD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A171008 Javne potrebe iznad standarda u srednjem školstvu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3132109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FE72FE3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324D43C" w14:textId="4927A29B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6EEC130" w14:textId="64F7814A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0761B8C" w14:textId="45392842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12.900,00</w:t>
            </w:r>
          </w:p>
        </w:tc>
      </w:tr>
    </w:tbl>
    <w:p w14:paraId="62B6F81F" w14:textId="77777777" w:rsidR="00465975" w:rsidRPr="00751C3A" w:rsidRDefault="00427CBE" w:rsidP="000369CB">
      <w:pPr>
        <w:pStyle w:val="Tijeloteksta"/>
        <w:spacing w:after="0"/>
        <w:jc w:val="both"/>
      </w:pPr>
      <w:r w:rsidRPr="00751C3A">
        <w:t>Cilj: zaštita materijalne i nematerijalne kulturno-povijesne baštine i njezinu valorizaciju i promociju kako bi bila dostupnija cjelokupnom društvu</w:t>
      </w:r>
    </w:p>
    <w:p w14:paraId="2059B6B9" w14:textId="5826969F" w:rsidR="00465975" w:rsidRPr="00751C3A" w:rsidRDefault="00427CBE" w:rsidP="000369CB">
      <w:pPr>
        <w:pStyle w:val="Tijeloteksta"/>
        <w:spacing w:after="0"/>
        <w:jc w:val="both"/>
      </w:pPr>
      <w:r w:rsidRPr="00751C3A">
        <w:t>Pokazatelji: rashodi za kultu</w:t>
      </w:r>
      <w:r w:rsidR="00C026AE" w:rsidRPr="00751C3A">
        <w:t>ru</w:t>
      </w:r>
      <w:r w:rsidR="004B04F4">
        <w:t xml:space="preserve"> i programe udruga</w:t>
      </w:r>
      <w:r w:rsidR="00C026AE" w:rsidRPr="00751C3A">
        <w:t xml:space="preserve"> JLS po stanovniku</w:t>
      </w:r>
    </w:p>
    <w:p w14:paraId="2CC39B8B" w14:textId="77777777" w:rsidR="00465975" w:rsidRDefault="00465975" w:rsidP="000369CB">
      <w:pPr>
        <w:pStyle w:val="Tijeloteksta"/>
        <w:spacing w:after="0"/>
        <w:jc w:val="both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4502"/>
        <w:gridCol w:w="266"/>
        <w:gridCol w:w="1695"/>
        <w:gridCol w:w="1151"/>
        <w:gridCol w:w="1151"/>
        <w:gridCol w:w="1155"/>
      </w:tblGrid>
      <w:tr w:rsidR="00AF6DEE" w:rsidRPr="004B04F4" w14:paraId="247129B4" w14:textId="77777777" w:rsidTr="00AF6DEE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3A65C2AA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6CE9BB16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</w:tcPr>
          <w:p w14:paraId="5DBB3832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267C415" w14:textId="5F2C156D" w:rsidR="00AF6DEE" w:rsidRPr="004B04F4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11DA4561" w14:textId="3EF68F00" w:rsidR="00AF6DEE" w:rsidRPr="004B04F4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</w:tcPr>
          <w:p w14:paraId="7DA45581" w14:textId="7D629ADB" w:rsidR="00AF6DEE" w:rsidRPr="004B04F4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AF6DEE" w:rsidRPr="004B04F4" w14:paraId="7CC8E85B" w14:textId="77777777" w:rsidTr="00AF6DEE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center"/>
            <w:hideMark/>
          </w:tcPr>
          <w:p w14:paraId="0CFB8D5E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1711 ISTRAŽIVANJE I ZAŠTITA KULTURNE BAŠTINE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296B1343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0BCEA917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1239903B" w14:textId="60767CE7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2.822.700,00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455ED5BD" w14:textId="4409BF9A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5.676.000,00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FF"/>
            <w:vAlign w:val="bottom"/>
            <w:hideMark/>
          </w:tcPr>
          <w:p w14:paraId="623A973D" w14:textId="6BAE1993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2.976.000,00</w:t>
            </w:r>
          </w:p>
        </w:tc>
      </w:tr>
      <w:tr w:rsidR="00AF6DEE" w:rsidRPr="004B04F4" w14:paraId="7554B68C" w14:textId="77777777" w:rsidTr="00AF6DEE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286EC29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A171101 Zaštitni znak i zaštita paške čipke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D1EB989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EC0920A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AF583C" w14:textId="658412AD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D8BE07" w14:textId="60F8BAF0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EFEF047" w14:textId="4A6AFBAA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AF6DEE" w:rsidRPr="004B04F4" w14:paraId="0B270E87" w14:textId="77777777" w:rsidTr="00AF6DEE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DEC0222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A171105 Arheološka istraživanja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21AB421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57D57C5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49CC4C2" w14:textId="42FAEA4B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D35160C" w14:textId="70ADE1CB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89BC6D0" w14:textId="1FEF414F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AF6DEE" w:rsidRPr="004B04F4" w14:paraId="1AFE342D" w14:textId="77777777" w:rsidTr="0025486B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4651959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A171106 Rad kapelnika Gradske glazbe Pag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58A5009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62D47E8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22C5292" w14:textId="454F69F2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96862DC" w14:textId="27BDC857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44A57820" w14:textId="5260376A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B04F4" w:rsidRPr="004B04F4" w14:paraId="201303E7" w14:textId="77777777" w:rsidTr="00AF6DEE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62E6534" w14:textId="77777777" w:rsidR="004B04F4" w:rsidRPr="004B04F4" w:rsidRDefault="004B04F4" w:rsidP="004B04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A171108 Sufinanciranje programa filmskih projekcija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CED5EB9" w14:textId="77777777" w:rsidR="004B04F4" w:rsidRPr="004B04F4" w:rsidRDefault="004B04F4" w:rsidP="004B0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957A916" w14:textId="77777777" w:rsidR="004B04F4" w:rsidRPr="004B04F4" w:rsidRDefault="004B04F4" w:rsidP="004B0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2FE8E95" w14:textId="77777777" w:rsidR="004B04F4" w:rsidRPr="004B04F4" w:rsidRDefault="004B04F4" w:rsidP="004B04F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4AB09896" w14:textId="77777777" w:rsidR="004B04F4" w:rsidRPr="004B04F4" w:rsidRDefault="004B04F4" w:rsidP="004B04F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73DA7DA4" w14:textId="77777777" w:rsidR="004B04F4" w:rsidRPr="004B04F4" w:rsidRDefault="004B04F4" w:rsidP="004B04F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AF6DEE" w:rsidRPr="004B04F4" w14:paraId="18A719BE" w14:textId="77777777" w:rsidTr="00087EAB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6BFF8632" w14:textId="028F642B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A17110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</w:t>
            </w: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Program Potencijali zajednice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4CC1091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3A473CC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6FB533E" w14:textId="27BF3838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2B54E35" w14:textId="6DDC87CB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0863B8A" w14:textId="40527394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40.300,00</w:t>
            </w:r>
          </w:p>
        </w:tc>
      </w:tr>
      <w:tr w:rsidR="00AF6DEE" w:rsidRPr="004B04F4" w14:paraId="623FECF2" w14:textId="77777777" w:rsidTr="00087EAB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392B2BF2" w14:textId="5B1A9F96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</w:t>
            </w: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Muzejska djelatnost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841B7BC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C327274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65D86BC" w14:textId="3379D38A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5D06B5C8" w14:textId="63B51233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578B18A" w14:textId="348809CB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</w:tr>
      <w:tr w:rsidR="00AF6DEE" w:rsidRPr="004B04F4" w14:paraId="44291A0E" w14:textId="77777777" w:rsidTr="00087EAB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614172B3" w14:textId="417335A0" w:rsidR="00AF6DEE" w:rsidRPr="00AF6DEE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11</w:t>
            </w: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AF6DE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Sunčev sat Vlašići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6DA14D8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75E77D1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E273C22" w14:textId="5E6C632D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623AA876" w14:textId="7F25A74F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7F5D94F9" w14:textId="62908C77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</w:tr>
      <w:tr w:rsidR="00AF6DEE" w:rsidRPr="004B04F4" w14:paraId="3A993DB1" w14:textId="77777777" w:rsidTr="00087EAB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</w:tcPr>
          <w:p w14:paraId="28F0F77F" w14:textId="160969AE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Aktivnost A1711</w:t>
            </w: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12</w:t>
            </w: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AF6DEE"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Sufinanciranje uređenja župne kuće Vlašić</w:t>
            </w:r>
            <w:r>
              <w:rPr>
                <w:rFonts w:eastAsia="Times New Roman"/>
                <w:color w:val="00000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3F5398C8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0518FBBD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2A7E354A" w14:textId="0294D410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46CF1121" w14:textId="2298236F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</w:tcPr>
          <w:p w14:paraId="10D0F024" w14:textId="419426F4" w:rsidR="00AF6DEE" w:rsidRPr="00AF6DEE" w:rsidRDefault="00AF6DEE" w:rsidP="00AF6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AF6DEE" w:rsidRPr="004B04F4" w14:paraId="17C79E05" w14:textId="77777777" w:rsidTr="001C358A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14896A32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K171102 Uređenje magazina soli  - Projekt Arhipelag kulture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6BBB942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ABF028E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2CD1B284" w14:textId="5FA35998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2.129.700,00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03BA3CE3" w14:textId="5A605227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4.983.000,00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1ABE7628" w14:textId="7700EF4F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2.283.000,00</w:t>
            </w:r>
          </w:p>
        </w:tc>
      </w:tr>
      <w:tr w:rsidR="00AF6DEE" w:rsidRPr="004B04F4" w14:paraId="0A32EC32" w14:textId="77777777" w:rsidTr="001227AC">
        <w:trPr>
          <w:trHeight w:val="25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center"/>
            <w:hideMark/>
          </w:tcPr>
          <w:p w14:paraId="6005F636" w14:textId="77777777" w:rsidR="00AF6DEE" w:rsidRPr="004B04F4" w:rsidRDefault="00AF6DEE" w:rsidP="00AF6DE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B04F4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Kapitalni projekt K171104 Kula Skrivanat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FC371FF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67F9318E" w14:textId="77777777" w:rsidR="00AF6DEE" w:rsidRPr="004B04F4" w:rsidRDefault="00AF6DEE" w:rsidP="00AF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B04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5DEF0055" w14:textId="3ACECBE3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34EC9E5D" w14:textId="3B91FF0E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495.000,00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D9DFF"/>
            <w:vAlign w:val="bottom"/>
            <w:hideMark/>
          </w:tcPr>
          <w:p w14:paraId="74841552" w14:textId="755AAEB1" w:rsidR="00AF6DEE" w:rsidRPr="00AF6DEE" w:rsidRDefault="00AF6DEE" w:rsidP="00AF6DEE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AF6DE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495.000,00</w:t>
            </w:r>
          </w:p>
        </w:tc>
      </w:tr>
    </w:tbl>
    <w:p w14:paraId="42D7A926" w14:textId="77777777" w:rsidR="00DE021D" w:rsidRPr="00751C3A" w:rsidRDefault="00DE021D" w:rsidP="00DE021D">
      <w:pPr>
        <w:pStyle w:val="Tijeloteksta"/>
        <w:spacing w:after="0"/>
        <w:jc w:val="both"/>
      </w:pPr>
      <w:r w:rsidRPr="00751C3A">
        <w:t>Cilj: zaštita materijalne i nematerijalne kulturno-povijesne baštine i njezinu valorizaciju i promociju kako bi bila dostupnija cjelokupnom društvu</w:t>
      </w:r>
    </w:p>
    <w:p w14:paraId="6680E2B4" w14:textId="77777777" w:rsidR="00DE021D" w:rsidRPr="00751C3A" w:rsidRDefault="00DE021D" w:rsidP="00DE021D">
      <w:pPr>
        <w:pStyle w:val="Tijeloteksta"/>
        <w:spacing w:after="0"/>
        <w:jc w:val="both"/>
      </w:pPr>
      <w:r w:rsidRPr="00751C3A">
        <w:t>Pokazatelji: rashodi za kulturu JLS po stanovniku</w:t>
      </w:r>
    </w:p>
    <w:p w14:paraId="798613AA" w14:textId="77777777" w:rsidR="00465975" w:rsidRPr="00751C3A" w:rsidRDefault="00465975" w:rsidP="000369CB">
      <w:pPr>
        <w:pStyle w:val="Tijeloteksta"/>
        <w:spacing w:after="0"/>
        <w:jc w:val="both"/>
      </w:pPr>
    </w:p>
    <w:sectPr w:rsidR="00465975" w:rsidRPr="00751C3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18E9" w14:textId="77777777" w:rsidR="00D873D2" w:rsidRDefault="00D873D2" w:rsidP="00DE021D">
      <w:pPr>
        <w:spacing w:after="0" w:line="240" w:lineRule="auto"/>
      </w:pPr>
      <w:r>
        <w:separator/>
      </w:r>
    </w:p>
  </w:endnote>
  <w:endnote w:type="continuationSeparator" w:id="0">
    <w:p w14:paraId="074D53A1" w14:textId="77777777" w:rsidR="00D873D2" w:rsidRDefault="00D873D2" w:rsidP="00DE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915112"/>
      <w:docPartObj>
        <w:docPartGallery w:val="Page Numbers (Bottom of Page)"/>
        <w:docPartUnique/>
      </w:docPartObj>
    </w:sdtPr>
    <w:sdtEndPr/>
    <w:sdtContent>
      <w:p w14:paraId="030ADAFD" w14:textId="2B788265" w:rsidR="00E210F0" w:rsidRDefault="00E210F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863">
          <w:rPr>
            <w:noProof/>
          </w:rPr>
          <w:t>8</w:t>
        </w:r>
        <w:r>
          <w:fldChar w:fldCharType="end"/>
        </w:r>
      </w:p>
    </w:sdtContent>
  </w:sdt>
  <w:p w14:paraId="527FCE30" w14:textId="77777777" w:rsidR="00E210F0" w:rsidRDefault="00E21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0A0" w14:textId="77777777" w:rsidR="00D873D2" w:rsidRDefault="00D873D2" w:rsidP="00DE021D">
      <w:pPr>
        <w:spacing w:after="0" w:line="240" w:lineRule="auto"/>
      </w:pPr>
      <w:r>
        <w:separator/>
      </w:r>
    </w:p>
  </w:footnote>
  <w:footnote w:type="continuationSeparator" w:id="0">
    <w:p w14:paraId="061A449D" w14:textId="77777777" w:rsidR="00D873D2" w:rsidRDefault="00D873D2" w:rsidP="00DE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D6"/>
    <w:rsid w:val="00001C6D"/>
    <w:rsid w:val="00005D98"/>
    <w:rsid w:val="000369CB"/>
    <w:rsid w:val="000B5DBC"/>
    <w:rsid w:val="000C6066"/>
    <w:rsid w:val="000C648C"/>
    <w:rsid w:val="00122E17"/>
    <w:rsid w:val="001245E4"/>
    <w:rsid w:val="00147308"/>
    <w:rsid w:val="00161890"/>
    <w:rsid w:val="00170AE2"/>
    <w:rsid w:val="00173ABB"/>
    <w:rsid w:val="001A25D7"/>
    <w:rsid w:val="001A6439"/>
    <w:rsid w:val="001D2521"/>
    <w:rsid w:val="001F7A5F"/>
    <w:rsid w:val="00201DC9"/>
    <w:rsid w:val="0020758E"/>
    <w:rsid w:val="00216CC2"/>
    <w:rsid w:val="002616EF"/>
    <w:rsid w:val="00261BE4"/>
    <w:rsid w:val="0027156C"/>
    <w:rsid w:val="00275BAD"/>
    <w:rsid w:val="00275CB8"/>
    <w:rsid w:val="00284828"/>
    <w:rsid w:val="0029379D"/>
    <w:rsid w:val="002A3B57"/>
    <w:rsid w:val="002C184B"/>
    <w:rsid w:val="002D4D64"/>
    <w:rsid w:val="00301454"/>
    <w:rsid w:val="00304DBE"/>
    <w:rsid w:val="00307AD0"/>
    <w:rsid w:val="003610B5"/>
    <w:rsid w:val="00391C43"/>
    <w:rsid w:val="003921E3"/>
    <w:rsid w:val="003A213D"/>
    <w:rsid w:val="003B2352"/>
    <w:rsid w:val="003B781B"/>
    <w:rsid w:val="003B7DA5"/>
    <w:rsid w:val="003F318A"/>
    <w:rsid w:val="00427CBE"/>
    <w:rsid w:val="00434380"/>
    <w:rsid w:val="00443BD9"/>
    <w:rsid w:val="00465975"/>
    <w:rsid w:val="004A22D8"/>
    <w:rsid w:val="004A255B"/>
    <w:rsid w:val="004B04F4"/>
    <w:rsid w:val="004B2C86"/>
    <w:rsid w:val="004D2AA4"/>
    <w:rsid w:val="004D32D6"/>
    <w:rsid w:val="00510758"/>
    <w:rsid w:val="005248D2"/>
    <w:rsid w:val="00534F81"/>
    <w:rsid w:val="0054234C"/>
    <w:rsid w:val="00550662"/>
    <w:rsid w:val="005740F9"/>
    <w:rsid w:val="0058492D"/>
    <w:rsid w:val="0058629D"/>
    <w:rsid w:val="00593B47"/>
    <w:rsid w:val="005A38AD"/>
    <w:rsid w:val="005D52CB"/>
    <w:rsid w:val="006076ED"/>
    <w:rsid w:val="006163C1"/>
    <w:rsid w:val="00624B28"/>
    <w:rsid w:val="00630611"/>
    <w:rsid w:val="006423CC"/>
    <w:rsid w:val="006502F1"/>
    <w:rsid w:val="00650F80"/>
    <w:rsid w:val="0066177B"/>
    <w:rsid w:val="006747FD"/>
    <w:rsid w:val="006E06B0"/>
    <w:rsid w:val="006F6049"/>
    <w:rsid w:val="00705D83"/>
    <w:rsid w:val="00751C3A"/>
    <w:rsid w:val="00766D8F"/>
    <w:rsid w:val="00784865"/>
    <w:rsid w:val="00791F35"/>
    <w:rsid w:val="007965D6"/>
    <w:rsid w:val="007A3479"/>
    <w:rsid w:val="007B0429"/>
    <w:rsid w:val="007B214E"/>
    <w:rsid w:val="007C10C4"/>
    <w:rsid w:val="007D6E81"/>
    <w:rsid w:val="007E66DE"/>
    <w:rsid w:val="007F5E9C"/>
    <w:rsid w:val="0080548E"/>
    <w:rsid w:val="00817902"/>
    <w:rsid w:val="008302C4"/>
    <w:rsid w:val="00852054"/>
    <w:rsid w:val="0089537C"/>
    <w:rsid w:val="008A1457"/>
    <w:rsid w:val="008D4B32"/>
    <w:rsid w:val="008E32DD"/>
    <w:rsid w:val="00926F08"/>
    <w:rsid w:val="009332F4"/>
    <w:rsid w:val="00973063"/>
    <w:rsid w:val="00976BBE"/>
    <w:rsid w:val="009A134B"/>
    <w:rsid w:val="009D3CC8"/>
    <w:rsid w:val="009E3B06"/>
    <w:rsid w:val="00A050DC"/>
    <w:rsid w:val="00A10B8F"/>
    <w:rsid w:val="00A41D21"/>
    <w:rsid w:val="00A53BDF"/>
    <w:rsid w:val="00A82717"/>
    <w:rsid w:val="00AA5C24"/>
    <w:rsid w:val="00AC08F7"/>
    <w:rsid w:val="00AC0B0F"/>
    <w:rsid w:val="00AC10D9"/>
    <w:rsid w:val="00AD5F98"/>
    <w:rsid w:val="00AF6DEE"/>
    <w:rsid w:val="00B03AC8"/>
    <w:rsid w:val="00B0657A"/>
    <w:rsid w:val="00B237D3"/>
    <w:rsid w:val="00B359D7"/>
    <w:rsid w:val="00B75514"/>
    <w:rsid w:val="00B844A4"/>
    <w:rsid w:val="00B935D6"/>
    <w:rsid w:val="00BA1D15"/>
    <w:rsid w:val="00BB5EEB"/>
    <w:rsid w:val="00BB6928"/>
    <w:rsid w:val="00BE0085"/>
    <w:rsid w:val="00C026AE"/>
    <w:rsid w:val="00C33B2F"/>
    <w:rsid w:val="00C41863"/>
    <w:rsid w:val="00C448FB"/>
    <w:rsid w:val="00C52672"/>
    <w:rsid w:val="00C66247"/>
    <w:rsid w:val="00C92A6E"/>
    <w:rsid w:val="00CA29C3"/>
    <w:rsid w:val="00CA4992"/>
    <w:rsid w:val="00CB35C8"/>
    <w:rsid w:val="00CC404F"/>
    <w:rsid w:val="00CD25F3"/>
    <w:rsid w:val="00CE4C5E"/>
    <w:rsid w:val="00D02DEA"/>
    <w:rsid w:val="00D3020B"/>
    <w:rsid w:val="00D3702B"/>
    <w:rsid w:val="00D62800"/>
    <w:rsid w:val="00D7480E"/>
    <w:rsid w:val="00D873D2"/>
    <w:rsid w:val="00DD3C23"/>
    <w:rsid w:val="00DE021D"/>
    <w:rsid w:val="00DF7FA4"/>
    <w:rsid w:val="00E02109"/>
    <w:rsid w:val="00E16922"/>
    <w:rsid w:val="00E210F0"/>
    <w:rsid w:val="00E2116A"/>
    <w:rsid w:val="00E31AEB"/>
    <w:rsid w:val="00E321E6"/>
    <w:rsid w:val="00E37032"/>
    <w:rsid w:val="00E55858"/>
    <w:rsid w:val="00E55D07"/>
    <w:rsid w:val="00E67257"/>
    <w:rsid w:val="00E67D32"/>
    <w:rsid w:val="00E80855"/>
    <w:rsid w:val="00E92F39"/>
    <w:rsid w:val="00E93E2D"/>
    <w:rsid w:val="00EA2591"/>
    <w:rsid w:val="00EB33B5"/>
    <w:rsid w:val="00EE343A"/>
    <w:rsid w:val="00F16CFB"/>
    <w:rsid w:val="00F30A6D"/>
    <w:rsid w:val="00F441DD"/>
    <w:rsid w:val="00F46961"/>
    <w:rsid w:val="00F55E8E"/>
    <w:rsid w:val="00F82CB3"/>
    <w:rsid w:val="00F96925"/>
    <w:rsid w:val="00FA3FBF"/>
    <w:rsid w:val="00FB48D8"/>
    <w:rsid w:val="00FD34E9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A0E"/>
  <w15:chartTrackingRefBased/>
  <w15:docId w15:val="{7AAA52FF-683F-4153-AEB0-DBC6E599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B935D6"/>
    <w:pPr>
      <w:spacing w:after="120" w:line="240" w:lineRule="auto"/>
    </w:pPr>
    <w:rPr>
      <w:rFonts w:eastAsia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B935D6"/>
    <w:rPr>
      <w:rFonts w:eastAsia="Times New Roman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E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21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E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21D"/>
    <w:rPr>
      <w:lang w:val="hr-HR"/>
    </w:rPr>
  </w:style>
  <w:style w:type="paragraph" w:customStyle="1" w:styleId="EMPTYCELLSTYLE">
    <w:name w:val="EMPTY_CELL_STYLE"/>
    <w:basedOn w:val="Normal"/>
    <w:qFormat/>
    <w:rsid w:val="0020758E"/>
    <w:pPr>
      <w:spacing w:after="0" w:line="240" w:lineRule="auto"/>
    </w:pPr>
    <w:rPr>
      <w:rFonts w:ascii="Arimo" w:eastAsia="Arimo" w:hAnsi="Arimo" w:cs="Arimo"/>
      <w:color w:val="000000"/>
      <w:sz w:val="1"/>
      <w:szCs w:val="20"/>
      <w:lang w:eastAsia="hr-HR"/>
    </w:rPr>
  </w:style>
  <w:style w:type="paragraph" w:customStyle="1" w:styleId="rgp1">
    <w:name w:val="rgp1"/>
    <w:basedOn w:val="Normal"/>
    <w:qFormat/>
    <w:rsid w:val="0020758E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basedOn w:val="Normal"/>
    <w:qFormat/>
    <w:rsid w:val="0020758E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Default">
    <w:name w:val="Default"/>
    <w:rsid w:val="003610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4B72-A6DA-4741-AEA7-04F9D7A1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6517</Words>
  <Characters>37148</Characters>
  <Application>Microsoft Office Word</Application>
  <DocSecurity>0</DocSecurity>
  <Lines>309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Šuljić</dc:creator>
  <cp:keywords/>
  <dc:description/>
  <cp:lastModifiedBy>Korisnik</cp:lastModifiedBy>
  <cp:revision>8</cp:revision>
  <dcterms:created xsi:type="dcterms:W3CDTF">2025-12-07T17:51:00Z</dcterms:created>
  <dcterms:modified xsi:type="dcterms:W3CDTF">2025-12-30T20:24:00Z</dcterms:modified>
</cp:coreProperties>
</file>